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936E1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880" w:firstLineChars="20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年预算绩效管理工作开展情况及202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5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年工作重点</w:t>
      </w:r>
    </w:p>
    <w:p w14:paraId="231DF9C6">
      <w:pPr>
        <w:keepNext w:val="0"/>
        <w:keepLines w:val="0"/>
        <w:pageBreakBefore w:val="0"/>
        <w:widowControl w:val="0"/>
        <w:kinsoku/>
        <w:wordWrap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44"/>
        </w:rPr>
        <w:t>202</w:t>
      </w:r>
      <w:r>
        <w:rPr>
          <w:rFonts w:hint="default" w:ascii="Times New Roman" w:hAnsi="Times New Roman" w:eastAsia="仿宋_GB2312" w:cs="Times New Roman"/>
          <w:sz w:val="32"/>
          <w:szCs w:val="44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sz w:val="32"/>
          <w:szCs w:val="44"/>
        </w:rPr>
        <w:t>年</w:t>
      </w:r>
      <w:r>
        <w:rPr>
          <w:rFonts w:hint="default" w:ascii="Times New Roman" w:hAnsi="Times New Roman" w:eastAsia="仿宋_GB2312" w:cs="Times New Roman"/>
          <w:sz w:val="32"/>
          <w:szCs w:val="44"/>
          <w:lang w:eastAsia="zh-CN"/>
        </w:rPr>
        <w:t>度，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我市</w:t>
      </w:r>
      <w:r>
        <w:rPr>
          <w:rFonts w:hint="default" w:ascii="Times New Roman" w:hAnsi="Times New Roman" w:eastAsia="仿宋_GB2312" w:cs="Times New Roman"/>
          <w:sz w:val="32"/>
          <w:szCs w:val="44"/>
          <w:lang w:eastAsia="zh-CN"/>
        </w:rPr>
        <w:t>以“绩效管理巩固年”活动为统领，共组织完成财政</w:t>
      </w:r>
      <w:r>
        <w:rPr>
          <w:rFonts w:hint="default" w:ascii="Times New Roman" w:hAnsi="Times New Roman" w:eastAsia="仿宋_GB2312" w:cs="Times New Roman"/>
          <w:sz w:val="32"/>
          <w:szCs w:val="44"/>
        </w:rPr>
        <w:t>评价项目</w:t>
      </w:r>
      <w:r>
        <w:rPr>
          <w:rFonts w:hint="default" w:ascii="Times New Roman" w:hAnsi="Times New Roman" w:eastAsia="仿宋_GB2312" w:cs="Times New Roman"/>
          <w:sz w:val="32"/>
          <w:szCs w:val="44"/>
          <w:lang w:val="en-US" w:eastAsia="zh-CN"/>
        </w:rPr>
        <w:t>38</w:t>
      </w:r>
      <w:r>
        <w:rPr>
          <w:rFonts w:hint="default" w:ascii="Times New Roman" w:hAnsi="Times New Roman" w:eastAsia="仿宋_GB2312" w:cs="Times New Roman"/>
          <w:sz w:val="32"/>
          <w:szCs w:val="44"/>
        </w:rPr>
        <w:t>个，</w:t>
      </w:r>
      <w:r>
        <w:rPr>
          <w:rFonts w:hint="default" w:ascii="Times New Roman" w:hAnsi="Times New Roman" w:eastAsia="仿宋_GB2312" w:cs="Times New Roman"/>
          <w:sz w:val="32"/>
          <w:szCs w:val="44"/>
          <w:lang w:eastAsia="zh-CN"/>
        </w:rPr>
        <w:t>其中</w:t>
      </w:r>
      <w:r>
        <w:rPr>
          <w:rFonts w:hint="default" w:ascii="Times New Roman" w:hAnsi="Times New Roman" w:eastAsia="仿宋_GB2312" w:cs="Times New Roman"/>
          <w:sz w:val="32"/>
          <w:szCs w:val="44"/>
        </w:rPr>
        <w:t>事前评估</w:t>
      </w:r>
      <w:r>
        <w:rPr>
          <w:rFonts w:hint="default" w:ascii="Times New Roman" w:hAnsi="Times New Roman" w:eastAsia="仿宋_GB2312" w:cs="Times New Roman"/>
          <w:sz w:val="32"/>
          <w:szCs w:val="44"/>
          <w:lang w:eastAsia="zh-CN"/>
        </w:rPr>
        <w:t>项目</w:t>
      </w:r>
      <w:r>
        <w:rPr>
          <w:rFonts w:hint="default" w:ascii="Times New Roman" w:hAnsi="Times New Roman" w:eastAsia="仿宋_GB2312" w:cs="Times New Roman"/>
          <w:sz w:val="32"/>
          <w:szCs w:val="44"/>
          <w:lang w:val="en-US" w:eastAsia="zh-CN"/>
        </w:rPr>
        <w:t>6个</w:t>
      </w:r>
      <w:r>
        <w:rPr>
          <w:rFonts w:hint="default" w:ascii="Times New Roman" w:hAnsi="Times New Roman" w:eastAsia="仿宋_GB2312" w:cs="Times New Roman"/>
          <w:sz w:val="32"/>
          <w:szCs w:val="44"/>
        </w:rPr>
        <w:t>、事中监控</w:t>
      </w:r>
      <w:r>
        <w:rPr>
          <w:rFonts w:hint="default" w:ascii="Times New Roman" w:hAnsi="Times New Roman" w:eastAsia="仿宋_GB2312" w:cs="Times New Roman"/>
          <w:sz w:val="32"/>
          <w:szCs w:val="44"/>
          <w:lang w:val="en-US" w:eastAsia="zh-CN"/>
        </w:rPr>
        <w:t>4个</w:t>
      </w:r>
      <w:r>
        <w:rPr>
          <w:rFonts w:hint="default" w:ascii="Times New Roman" w:hAnsi="Times New Roman" w:eastAsia="仿宋_GB2312" w:cs="Times New Roman"/>
          <w:sz w:val="32"/>
          <w:szCs w:val="44"/>
        </w:rPr>
        <w:t>、事后评价</w:t>
      </w:r>
      <w:r>
        <w:rPr>
          <w:rFonts w:hint="default" w:ascii="Times New Roman" w:hAnsi="Times New Roman" w:eastAsia="仿宋_GB2312" w:cs="Times New Roman"/>
          <w:sz w:val="32"/>
          <w:szCs w:val="44"/>
          <w:lang w:val="en-US" w:eastAsia="zh-CN"/>
        </w:rPr>
        <w:t>28个</w:t>
      </w:r>
      <w:r>
        <w:rPr>
          <w:rFonts w:hint="default" w:ascii="Times New Roman" w:hAnsi="Times New Roman" w:eastAsia="仿宋_GB2312" w:cs="Times New Roman"/>
          <w:sz w:val="32"/>
          <w:szCs w:val="44"/>
          <w:lang w:eastAsia="zh-CN"/>
        </w:rPr>
        <w:t>。</w:t>
      </w:r>
      <w:r>
        <w:rPr>
          <w:rFonts w:hint="default" w:ascii="Times New Roman" w:hAnsi="Times New Roman" w:eastAsia="仿宋_GB2312" w:cs="Times New Roman"/>
          <w:sz w:val="32"/>
          <w:szCs w:val="44"/>
        </w:rPr>
        <w:t>涉及评价资金1</w:t>
      </w:r>
      <w:r>
        <w:rPr>
          <w:rFonts w:hint="default" w:ascii="Times New Roman" w:hAnsi="Times New Roman" w:eastAsia="仿宋_GB2312" w:cs="Times New Roman"/>
          <w:sz w:val="32"/>
          <w:szCs w:val="44"/>
          <w:lang w:val="en-US" w:eastAsia="zh-CN"/>
        </w:rPr>
        <w:t>2.3</w:t>
      </w:r>
      <w:r>
        <w:rPr>
          <w:rFonts w:hint="default" w:ascii="Times New Roman" w:hAnsi="Times New Roman" w:eastAsia="仿宋_GB2312" w:cs="Times New Roman"/>
          <w:sz w:val="32"/>
          <w:szCs w:val="44"/>
        </w:rPr>
        <w:t>亿元</w:t>
      </w:r>
      <w:r>
        <w:rPr>
          <w:rFonts w:hint="default" w:ascii="Times New Roman" w:hAnsi="Times New Roman" w:eastAsia="仿宋_GB2312" w:cs="Times New Roman"/>
          <w:sz w:val="32"/>
          <w:szCs w:val="44"/>
          <w:lang w:eastAsia="zh-CN"/>
        </w:rPr>
        <w:t>。根据评价结果，建议取消项目</w:t>
      </w:r>
      <w:r>
        <w:rPr>
          <w:rFonts w:hint="default" w:ascii="Times New Roman" w:hAnsi="Times New Roman" w:eastAsia="仿宋_GB2312" w:cs="Times New Roman"/>
          <w:sz w:val="32"/>
          <w:szCs w:val="44"/>
          <w:lang w:val="en-US" w:eastAsia="zh-CN"/>
        </w:rPr>
        <w:t>1个，建议</w:t>
      </w:r>
      <w:r>
        <w:rPr>
          <w:rFonts w:hint="default" w:ascii="Times New Roman" w:hAnsi="Times New Roman" w:eastAsia="仿宋_GB2312" w:cs="Times New Roman"/>
          <w:sz w:val="32"/>
          <w:szCs w:val="44"/>
          <w:lang w:eastAsia="zh-CN"/>
        </w:rPr>
        <w:t>调减预算金额</w:t>
      </w:r>
      <w:r>
        <w:rPr>
          <w:rFonts w:hint="default" w:ascii="Times New Roman" w:hAnsi="Times New Roman" w:eastAsia="仿宋_GB2312" w:cs="Times New Roman"/>
          <w:sz w:val="32"/>
          <w:szCs w:val="44"/>
          <w:lang w:val="en-US" w:eastAsia="zh-CN"/>
        </w:rPr>
        <w:t>1573.7万元。全方位、全过程、全覆盖的预算绩效管理体系进一步健全</w:t>
      </w:r>
      <w:r>
        <w:rPr>
          <w:rFonts w:hint="default" w:ascii="Times New Roman" w:hAnsi="Times New Roman" w:eastAsia="仿宋_GB2312" w:cs="Times New Roman"/>
          <w:sz w:val="32"/>
          <w:szCs w:val="44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44"/>
          <w:lang w:eastAsia="zh-CN"/>
        </w:rPr>
        <w:t>“花钱必问效、无效必问责”的氛围进一步浓厚，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获评省财政厅绩效管理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工作年度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考核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优秀等次</w:t>
      </w:r>
      <w:r>
        <w:rPr>
          <w:rFonts w:hint="default" w:ascii="Times New Roman" w:hAnsi="Times New Roman" w:eastAsia="仿宋_GB2312" w:cs="Times New Roman"/>
          <w:sz w:val="32"/>
          <w:szCs w:val="44"/>
          <w:lang w:eastAsia="zh-CN"/>
        </w:rPr>
        <w:t>。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现将有关情况公示如下：</w:t>
      </w:r>
    </w:p>
    <w:p w14:paraId="4B0782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lang w:eastAsia="zh-CN"/>
        </w:rPr>
        <w:t>一、主要做法和经验</w:t>
      </w:r>
    </w:p>
    <w:p w14:paraId="4AD3EBD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 w:val="0"/>
        <w:topLinePunct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default" w:ascii="Times New Roman" w:hAnsi="Times New Roman" w:eastAsia="楷体_GB2312" w:cs="Times New Roman"/>
          <w:b/>
          <w:bCs/>
          <w:sz w:val="32"/>
          <w:szCs w:val="32"/>
          <w:lang w:eastAsia="zh-CN"/>
        </w:rPr>
      </w:pPr>
      <w:r>
        <w:rPr>
          <w:rFonts w:hint="default" w:ascii="Times New Roman" w:hAnsi="Times New Roman" w:eastAsia="楷体_GB2312" w:cs="Times New Roman"/>
          <w:b/>
          <w:bCs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楷体_GB2312" w:cs="Times New Roman"/>
          <w:b/>
          <w:bCs/>
          <w:sz w:val="32"/>
          <w:szCs w:val="32"/>
        </w:rPr>
        <w:t>一</w:t>
      </w:r>
      <w:r>
        <w:rPr>
          <w:rFonts w:hint="default" w:ascii="Times New Roman" w:hAnsi="Times New Roman" w:eastAsia="楷体_GB2312" w:cs="Times New Roman"/>
          <w:b/>
          <w:bCs/>
          <w:sz w:val="32"/>
          <w:szCs w:val="32"/>
          <w:lang w:eastAsia="zh-CN"/>
        </w:rPr>
        <w:t>）把牢准入关口，事前评估全面覆盖</w:t>
      </w:r>
    </w:p>
    <w:p w14:paraId="48D9E0C3">
      <w:pPr>
        <w:keepNext w:val="0"/>
        <w:keepLines w:val="0"/>
        <w:pageBreakBefore w:val="0"/>
        <w:widowControl w:val="0"/>
        <w:kinsoku/>
        <w:wordWrap/>
        <w:overflowPunct w:val="0"/>
        <w:topLinePunct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一是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积极构建“部门全面评估+财政重点评估”模式，健全完善重大政策和项目事前绩效评估机制，将评估结果作为重大政策和项目实施的主要依据。</w:t>
      </w:r>
    </w:p>
    <w:p w14:paraId="189D6484">
      <w:pPr>
        <w:keepNext w:val="0"/>
        <w:keepLines w:val="0"/>
        <w:pageBreakBefore w:val="0"/>
        <w:widowControl w:val="0"/>
        <w:kinsoku/>
        <w:wordWrap/>
        <w:overflowPunct w:val="0"/>
        <w:topLinePunct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二是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对未开展事前绩效评估或评估结果为“不予支持”的，不纳入项目库和安排预算；对评估结果为“予以支持”的，根据轻重缓急和财力情况统筹考虑。</w:t>
      </w:r>
    </w:p>
    <w:p w14:paraId="734BD03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 w:val="0"/>
        <w:topLinePunct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default" w:ascii="Times New Roman" w:hAnsi="Times New Roman" w:eastAsia="楷体_GB2312" w:cs="Times New Roman"/>
          <w:b/>
          <w:bCs/>
          <w:sz w:val="32"/>
          <w:szCs w:val="32"/>
          <w:lang w:eastAsia="zh-CN"/>
        </w:rPr>
      </w:pPr>
      <w:r>
        <w:rPr>
          <w:rFonts w:hint="default" w:ascii="Times New Roman" w:hAnsi="Times New Roman" w:eastAsia="楷体_GB2312" w:cs="Times New Roman"/>
          <w:b/>
          <w:bCs/>
          <w:sz w:val="32"/>
          <w:szCs w:val="32"/>
          <w:lang w:eastAsia="zh-CN"/>
        </w:rPr>
        <w:t>（二）开展乡镇评价，管理短板全面补齐</w:t>
      </w:r>
    </w:p>
    <w:p w14:paraId="5FC7D6B5">
      <w:pPr>
        <w:keepNext w:val="0"/>
        <w:keepLines w:val="0"/>
        <w:pageBreakBefore w:val="0"/>
        <w:widowControl w:val="0"/>
        <w:kinsoku/>
        <w:wordWrap/>
        <w:overflowPunct w:val="0"/>
        <w:topLinePunct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一是全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年继续安排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荷花、镇头等</w:t>
      </w:r>
      <w:r>
        <w:rPr>
          <w:rFonts w:hint="default" w:ascii="Times New Roman" w:hAnsi="Times New Roman" w:eastAsia="仿宋_GB2312" w:cs="Times New Roman"/>
          <w:sz w:val="32"/>
          <w:szCs w:val="32"/>
        </w:rPr>
        <w:t>6个乡镇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（街道）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进行整体支出绩效评价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。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结合乡镇财政各项考核指标，建立乡镇（街道）整体支出评价体系，提升评价工作公正性和科学性，为乡镇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管理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提供参考依据。</w:t>
      </w:r>
    </w:p>
    <w:p w14:paraId="6CE6A11A">
      <w:pPr>
        <w:keepNext w:val="0"/>
        <w:keepLines w:val="0"/>
        <w:pageBreakBefore w:val="0"/>
        <w:widowControl w:val="0"/>
        <w:kinsoku/>
        <w:wordWrap/>
        <w:overflowPunct w:val="0"/>
        <w:topLinePunct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二是积极探索绩效评价在乡村振兴战略中的位置和路径，撰写《厘清乡村振兴“财路”，提高财政资金绩效》在《新湖南》上发表，《让每一分钱都结出绩效之果》在《中国财经报》上发表。</w:t>
      </w:r>
    </w:p>
    <w:p w14:paraId="228F578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 w:val="0"/>
        <w:topLinePunct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default" w:ascii="Times New Roman" w:hAnsi="Times New Roman" w:eastAsia="楷体_GB2312" w:cs="Times New Roman"/>
          <w:b/>
          <w:bCs/>
          <w:sz w:val="32"/>
          <w:szCs w:val="32"/>
          <w:lang w:eastAsia="zh-CN"/>
        </w:rPr>
      </w:pPr>
      <w:r>
        <w:rPr>
          <w:rFonts w:hint="default" w:ascii="Times New Roman" w:hAnsi="Times New Roman" w:eastAsia="楷体_GB2312" w:cs="Times New Roman"/>
          <w:b/>
          <w:bCs/>
          <w:sz w:val="32"/>
          <w:szCs w:val="32"/>
          <w:lang w:eastAsia="zh-CN"/>
        </w:rPr>
        <w:t>（三）刚化结果应用，职能部门全面联动</w:t>
      </w:r>
    </w:p>
    <w:p w14:paraId="598FF8E2">
      <w:pPr>
        <w:keepNext w:val="0"/>
        <w:keepLines w:val="0"/>
        <w:pageBreakBefore w:val="0"/>
        <w:widowControl w:val="0"/>
        <w:kinsoku/>
        <w:wordWrap/>
        <w:overflowPunct w:val="0"/>
        <w:topLinePunct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一是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加强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绩效评价结果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整改应用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。对于评价发现的问题，以书面形式通知被评价单位限期整改，绩效科根据预算单位报送的整改资料组织“回头看”，对整改落实不到位的单位于下一年度开展整改再评价。</w:t>
      </w:r>
    </w:p>
    <w:p w14:paraId="1F1FF04E">
      <w:pPr>
        <w:keepNext w:val="0"/>
        <w:keepLines w:val="0"/>
        <w:pageBreakBefore w:val="0"/>
        <w:widowControl w:val="0"/>
        <w:kinsoku/>
        <w:wordWrap/>
        <w:overflowPunct w:val="0"/>
        <w:topLinePunct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二是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将绩效评价结果与年度预算安排挂钩，按照部门预算要求，对评价结果为“较差”“差”的项目按比例核减预算直至取消。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 </w:t>
      </w:r>
    </w:p>
    <w:p w14:paraId="12430938">
      <w:pPr>
        <w:keepNext w:val="0"/>
        <w:keepLines w:val="0"/>
        <w:pageBreakBefore w:val="0"/>
        <w:widowControl w:val="0"/>
        <w:kinsoku/>
        <w:wordWrap/>
        <w:overflowPunct w:val="0"/>
        <w:topLinePunct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三是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纳入重点评价计划的项目评价结果与单位年度考核挂钩，结果为“较差”和“差”的分别给予考核扣分和双倍扣分。</w:t>
      </w:r>
    </w:p>
    <w:p w14:paraId="7E19E52A">
      <w:pPr>
        <w:keepNext w:val="0"/>
        <w:keepLines w:val="0"/>
        <w:pageBreakBefore w:val="0"/>
        <w:widowControl w:val="0"/>
        <w:kinsoku/>
        <w:wordWrap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二、2025年工作重点</w:t>
      </w:r>
    </w:p>
    <w:p w14:paraId="3AF5283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 w:val="0"/>
        <w:topLinePunct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楷体_GB2312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以绩效评价为核心驱动力，助力零基预算改革，构建“钱随事走，效优则增”的财政管理新模式，打造地方财政管理新标杆。</w:t>
      </w:r>
    </w:p>
    <w:p w14:paraId="14C5ED9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 w:val="0"/>
        <w:topLinePunct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default" w:ascii="Times New Roman" w:hAnsi="Times New Roman" w:eastAsia="楷体_GB2312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楷体_GB2312" w:cs="Times New Roman"/>
          <w:b/>
          <w:bCs/>
          <w:sz w:val="32"/>
          <w:szCs w:val="32"/>
          <w:lang w:val="en-US" w:eastAsia="zh-CN"/>
        </w:rPr>
        <w:t>（一）</w:t>
      </w:r>
      <w:r>
        <w:rPr>
          <w:rFonts w:hint="eastAsia" w:ascii="Times New Roman" w:hAnsi="Times New Roman" w:eastAsia="楷体_GB2312" w:cs="Times New Roman"/>
          <w:b/>
          <w:bCs/>
          <w:sz w:val="32"/>
          <w:szCs w:val="32"/>
          <w:lang w:val="en-US" w:eastAsia="zh-CN"/>
        </w:rPr>
        <w:t>建全</w:t>
      </w:r>
      <w:r>
        <w:rPr>
          <w:rFonts w:hint="default" w:ascii="Times New Roman" w:hAnsi="Times New Roman" w:eastAsia="楷体_GB2312" w:cs="Times New Roman"/>
          <w:b/>
          <w:bCs/>
          <w:sz w:val="32"/>
          <w:szCs w:val="32"/>
          <w:lang w:val="en-US" w:eastAsia="zh-CN"/>
        </w:rPr>
        <w:t>事前评估</w:t>
      </w:r>
      <w:r>
        <w:rPr>
          <w:rFonts w:hint="eastAsia" w:ascii="Times New Roman" w:hAnsi="Times New Roman" w:eastAsia="楷体_GB2312" w:cs="Times New Roman"/>
          <w:b/>
          <w:bCs/>
          <w:sz w:val="32"/>
          <w:szCs w:val="32"/>
          <w:lang w:val="en-US" w:eastAsia="zh-CN"/>
        </w:rPr>
        <w:t>机制</w:t>
      </w:r>
    </w:p>
    <w:p w14:paraId="2C338C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建立事前绩效评估与预算项目库衔接制度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实现评估结果与预算项目库的有效衔接，确保预算安排的项目经过充分论证，符合国家政策导向、单位发展规划及财政承受能力。</w:t>
      </w:r>
      <w:r>
        <w:rPr>
          <w:rFonts w:hint="default" w:ascii="Times New Roman" w:hAnsi="Times New Roman" w:eastAsia="仿宋_GB2312" w:cs="Times New Roman"/>
          <w:color w:val="auto"/>
          <w:spacing w:val="0"/>
          <w:position w:val="0"/>
          <w:sz w:val="32"/>
          <w:szCs w:val="32"/>
        </w:rPr>
        <w:t>在预算申报过程中探索开展“事前绩效评估+预算评审”相融合的预算绩效管理模式</w:t>
      </w:r>
      <w:r>
        <w:rPr>
          <w:rFonts w:hint="default" w:ascii="Times New Roman" w:hAnsi="Times New Roman" w:eastAsia="仿宋_GB2312" w:cs="Times New Roman"/>
          <w:color w:val="auto"/>
          <w:spacing w:val="0"/>
          <w:position w:val="0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spacing w:val="0"/>
          <w:position w:val="0"/>
          <w:sz w:val="32"/>
          <w:szCs w:val="32"/>
        </w:rPr>
        <w:t>将事前绩效评估、预算评审与预算安排同研究、同部署、同推进</w:t>
      </w:r>
      <w:r>
        <w:rPr>
          <w:rFonts w:hint="default" w:ascii="Times New Roman" w:hAnsi="Times New Roman" w:eastAsia="仿宋_GB2312" w:cs="Times New Roman"/>
          <w:color w:val="auto"/>
          <w:spacing w:val="0"/>
          <w:position w:val="0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spacing w:val="0"/>
          <w:position w:val="0"/>
          <w:sz w:val="32"/>
          <w:szCs w:val="32"/>
        </w:rPr>
        <w:t>加强跨部门间工作协同，提高财政资源配置效率</w:t>
      </w:r>
      <w:r>
        <w:rPr>
          <w:rFonts w:hint="eastAsia" w:ascii="Times New Roman" w:hAnsi="Times New Roman" w:eastAsia="仿宋_GB2312" w:cs="Times New Roman"/>
          <w:color w:val="auto"/>
          <w:spacing w:val="0"/>
          <w:position w:val="0"/>
          <w:sz w:val="32"/>
          <w:szCs w:val="32"/>
          <w:lang w:eastAsia="zh-CN"/>
        </w:rPr>
        <w:t>，</w:t>
      </w:r>
    </w:p>
    <w:p w14:paraId="326D8B6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 w:val="0"/>
        <w:topLinePunct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default" w:ascii="Times New Roman" w:hAnsi="Times New Roman" w:eastAsia="楷体_GB2312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楷体_GB2312" w:cs="Times New Roman"/>
          <w:b/>
          <w:bCs/>
          <w:sz w:val="32"/>
          <w:szCs w:val="32"/>
          <w:lang w:val="en-US" w:eastAsia="zh-CN"/>
        </w:rPr>
        <w:t>（二）</w:t>
      </w:r>
      <w:r>
        <w:rPr>
          <w:rFonts w:hint="eastAsia" w:ascii="Times New Roman" w:hAnsi="Times New Roman" w:eastAsia="楷体_GB2312" w:cs="Times New Roman"/>
          <w:b/>
          <w:bCs/>
          <w:sz w:val="32"/>
          <w:szCs w:val="32"/>
          <w:lang w:val="en-US" w:eastAsia="zh-CN"/>
        </w:rPr>
        <w:t>加强</w:t>
      </w:r>
      <w:r>
        <w:rPr>
          <w:rFonts w:hint="default" w:ascii="Times New Roman" w:hAnsi="Times New Roman" w:eastAsia="楷体_GB2312" w:cs="Times New Roman"/>
          <w:b/>
          <w:bCs/>
          <w:sz w:val="32"/>
          <w:szCs w:val="32"/>
          <w:lang w:val="en-US" w:eastAsia="zh-CN"/>
        </w:rPr>
        <w:t>绩效目标管理</w:t>
      </w:r>
    </w:p>
    <w:p w14:paraId="067B2446">
      <w:pPr>
        <w:keepNext w:val="0"/>
        <w:keepLines w:val="0"/>
        <w:pageBreakBefore w:val="0"/>
        <w:widowControl w:val="0"/>
        <w:kinsoku/>
        <w:wordWrap/>
        <w:overflowPunct w:val="0"/>
        <w:topLinePunct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分批对全市预算单位相关人员进行培训，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加强对预算单位绩效目标编制的指导和审核，提高绩效目标的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科学性，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建立绩效目标跟踪机制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定期对绩效目标的实现情况进行监控和分析。</w:t>
      </w:r>
    </w:p>
    <w:p w14:paraId="6797961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 w:val="0"/>
        <w:topLinePunct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default" w:ascii="Times New Roman" w:hAnsi="Times New Roman" w:eastAsia="楷体_GB2312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楷体_GB2312" w:cs="Times New Roman"/>
          <w:b/>
          <w:bCs/>
          <w:sz w:val="32"/>
          <w:szCs w:val="32"/>
          <w:lang w:val="en-US" w:eastAsia="zh-CN"/>
        </w:rPr>
        <w:t>（三）</w:t>
      </w:r>
      <w:r>
        <w:rPr>
          <w:rFonts w:hint="eastAsia" w:ascii="Times New Roman" w:hAnsi="Times New Roman" w:eastAsia="楷体_GB2312" w:cs="Times New Roman"/>
          <w:b/>
          <w:bCs/>
          <w:sz w:val="32"/>
          <w:szCs w:val="32"/>
          <w:lang w:val="en-US" w:eastAsia="zh-CN"/>
        </w:rPr>
        <w:t>夯实</w:t>
      </w:r>
      <w:r>
        <w:rPr>
          <w:rFonts w:hint="default" w:ascii="Times New Roman" w:hAnsi="Times New Roman" w:eastAsia="楷体_GB2312" w:cs="Times New Roman"/>
          <w:b/>
          <w:bCs/>
          <w:sz w:val="32"/>
          <w:szCs w:val="32"/>
          <w:lang w:val="en-US" w:eastAsia="zh-CN"/>
        </w:rPr>
        <w:t>绩效运行监控</w:t>
      </w:r>
    </w:p>
    <w:p w14:paraId="26B85561">
      <w:pPr>
        <w:keepNext w:val="0"/>
        <w:keepLines w:val="0"/>
        <w:pageBreakBefore w:val="0"/>
        <w:widowControl w:val="0"/>
        <w:kinsoku/>
        <w:wordWrap/>
        <w:overflowPunct w:val="0"/>
        <w:topLinePunct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加强部门与科室之间联动，以绩效目标为导向，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对预算执行过程中的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目标达成程度与资金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绩效情况进行实时监控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及时发现和解决绩效运行中存在的问题，确保项目按预定绩效目标顺利推进。</w:t>
      </w:r>
    </w:p>
    <w:p w14:paraId="1CB60C2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 w:val="0"/>
        <w:topLinePunct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default" w:ascii="Times New Roman" w:hAnsi="Times New Roman" w:eastAsia="楷体_GB2312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楷体_GB2312" w:cs="Times New Roman"/>
          <w:b/>
          <w:bCs/>
          <w:sz w:val="32"/>
          <w:szCs w:val="32"/>
          <w:lang w:val="en-US" w:eastAsia="zh-CN"/>
        </w:rPr>
        <w:t>（四）</w:t>
      </w:r>
      <w:r>
        <w:rPr>
          <w:rFonts w:hint="eastAsia" w:ascii="Times New Roman" w:hAnsi="Times New Roman" w:eastAsia="楷体_GB2312" w:cs="Times New Roman"/>
          <w:b/>
          <w:bCs/>
          <w:sz w:val="32"/>
          <w:szCs w:val="32"/>
          <w:lang w:val="en-US" w:eastAsia="zh-CN"/>
        </w:rPr>
        <w:t>强化</w:t>
      </w:r>
      <w:r>
        <w:rPr>
          <w:rFonts w:hint="default" w:ascii="Times New Roman" w:hAnsi="Times New Roman" w:eastAsia="楷体_GB2312" w:cs="Times New Roman"/>
          <w:b/>
          <w:bCs/>
          <w:sz w:val="32"/>
          <w:szCs w:val="32"/>
          <w:lang w:val="en-US" w:eastAsia="zh-CN"/>
        </w:rPr>
        <w:t>评价</w:t>
      </w:r>
      <w:r>
        <w:rPr>
          <w:rFonts w:hint="eastAsia" w:ascii="Times New Roman" w:hAnsi="Times New Roman" w:eastAsia="楷体_GB2312" w:cs="Times New Roman"/>
          <w:b/>
          <w:bCs/>
          <w:sz w:val="32"/>
          <w:szCs w:val="32"/>
          <w:lang w:val="en-US" w:eastAsia="zh-CN"/>
        </w:rPr>
        <w:t>结果应用</w:t>
      </w:r>
    </w:p>
    <w:p w14:paraId="3370E841">
      <w:pPr>
        <w:keepNext w:val="0"/>
        <w:keepLines w:val="0"/>
        <w:pageBreakBefore w:val="0"/>
        <w:widowControl w:val="0"/>
        <w:kinsoku/>
        <w:wordWrap/>
        <w:overflowPunct w:val="0"/>
        <w:topLinePunct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全面开展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财政</w:t>
      </w:r>
      <w:bookmarkStart w:id="0" w:name="_GoBack"/>
      <w:bookmarkEnd w:id="0"/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评价工作，包括项目绩效评价和部门整体绩效评价。完善绩效评价指标体系，提高评价结果的准确性和可比性。</w:t>
      </w:r>
    </w:p>
    <w:p w14:paraId="766061CB">
      <w:pPr>
        <w:keepNext w:val="0"/>
        <w:keepLines w:val="0"/>
        <w:pageBreakBefore w:val="0"/>
        <w:widowControl w:val="0"/>
        <w:kinsoku/>
        <w:wordWrap/>
        <w:overflowPunct w:val="0"/>
        <w:topLinePunct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加强绩效评价结果的应用，将评价结果与预算安排、政策调整等挂钩。</w:t>
      </w:r>
    </w:p>
    <w:sectPr>
      <w:headerReference r:id="rId3" w:type="first"/>
      <w:footerReference r:id="rId5" w:type="first"/>
      <w:footerReference r:id="rId4" w:type="default"/>
      <w:pgSz w:w="11906" w:h="16838"/>
      <w:pgMar w:top="1701" w:right="1531" w:bottom="1417" w:left="1531" w:header="851" w:footer="992" w:gutter="0"/>
      <w:cols w:space="0" w:num="1"/>
      <w:titlePg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大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EC20B0F">
    <w:pPr>
      <w:pStyle w:val="4"/>
      <w:jc w:val="center"/>
      <w:rPr>
        <w:rFonts w:hint="eastAsia" w:ascii="仿宋_GB2312" w:hAnsi="仿宋_GB2312" w:eastAsia="仿宋_GB2312" w:cs="仿宋_GB2312"/>
        <w:sz w:val="28"/>
        <w:szCs w:val="28"/>
      </w:rPr>
    </w:pPr>
    <w:r>
      <w:rPr>
        <w:rFonts w:hint="eastAsia" w:ascii="仿宋_GB2312" w:hAnsi="仿宋_GB2312" w:eastAsia="仿宋_GB2312" w:cs="仿宋_GB2312"/>
        <w:sz w:val="28"/>
        <w:szCs w:val="28"/>
      </w:rPr>
      <w:pict>
        <v:shape id="_x0000_s4098" o:spid="_x0000_s4098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sdt>
                <w:sdtPr>
                  <w:rPr>
                    <w:rFonts w:hint="default" w:ascii="Times New Roman" w:hAnsi="Times New Roman" w:eastAsia="仿宋_GB2312" w:cs="Times New Roman"/>
                    <w:sz w:val="28"/>
                    <w:szCs w:val="28"/>
                  </w:rPr>
                  <w:id w:val="26608046"/>
                </w:sdtPr>
                <w:sdtEndPr>
                  <w:rPr>
                    <w:rFonts w:hint="eastAsia" w:asciiTheme="minorEastAsia" w:hAnsiTheme="minorEastAsia" w:eastAsiaTheme="minorEastAsia" w:cstheme="minorEastAsia"/>
                    <w:sz w:val="24"/>
                    <w:szCs w:val="24"/>
                  </w:rPr>
                </w:sdtEndPr>
                <w:sdtContent>
                  <w:p w14:paraId="260175EF">
                    <w:pPr>
                      <w:pStyle w:val="4"/>
                      <w:jc w:val="center"/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24"/>
                      </w:rPr>
                    </w:pPr>
                    <w:r>
                      <w:rPr>
                        <w:rFonts w:hint="default" w:ascii="Times New Roman" w:hAnsi="Times New Roman" w:eastAsia="仿宋_GB2312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eastAsia="仿宋_GB2312" w:cs="Times New Roman"/>
                        <w:sz w:val="28"/>
                        <w:szCs w:val="28"/>
                      </w:rPr>
                      <w:instrText xml:space="preserve"> PAGE   \* MERGEFORMAT </w:instrText>
                    </w:r>
                    <w:r>
                      <w:rPr>
                        <w:rFonts w:hint="default" w:ascii="Times New Roman" w:hAnsi="Times New Roman" w:eastAsia="仿宋_GB2312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eastAsia="仿宋_GB2312" w:cs="Times New Roman"/>
                        <w:sz w:val="28"/>
                        <w:szCs w:val="28"/>
                        <w:lang w:val="zh-CN"/>
                      </w:rPr>
                      <w:t>1</w:t>
                    </w:r>
                    <w:r>
                      <w:rPr>
                        <w:rFonts w:hint="default" w:ascii="Times New Roman" w:hAnsi="Times New Roman" w:eastAsia="仿宋_GB2312" w:cs="Times New Roman"/>
                        <w:sz w:val="28"/>
                        <w:szCs w:val="28"/>
                        <w:lang w:val="zh-CN"/>
                      </w:rPr>
                      <w:fldChar w:fldCharType="end"/>
                    </w:r>
                  </w:p>
                </w:sdtContent>
              </w:sdt>
              <w:p w14:paraId="72CA06B6">
                <w:pPr>
                  <w:pStyle w:val="2"/>
                </w:pPr>
              </w:p>
            </w:txbxContent>
          </v:textbox>
        </v:shape>
      </w:pict>
    </w:r>
  </w:p>
  <w:p w14:paraId="589DA92C"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81845E8">
    <w:pPr>
      <w:pStyle w:val="4"/>
    </w:pPr>
    <w:r>
      <w:rPr>
        <w:sz w:val="18"/>
      </w:rPr>
      <w:pict>
        <v:shape id="_x0000_s4097" o:spid="_x0000_s4097" o:spt="202" type="#_x0000_t202" style="position:absolute;left:0pt;margin-top:0pt;height:144pt;width:144pt;mso-position-horizontal:right;mso-position-horizontal-relative:margin;mso-wrap-style:none;z-index:251660288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 w14:paraId="670B4F30">
                <w:pPr>
                  <w:pStyle w:val="4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EEFBD59">
    <w:pPr>
      <w:pStyle w:val="5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TBlYmVlOTMzNmE1ODZhZDM3NmFjNDQwMDM3YTIzNjcifQ=="/>
    <w:docVar w:name="KSO_WPS_MARK_KEY" w:val="5f231af3-a019-4cae-9cdd-57b059b0f0ed"/>
  </w:docVars>
  <w:rsids>
    <w:rsidRoot w:val="003D7100"/>
    <w:rsid w:val="00003E39"/>
    <w:rsid w:val="000121C4"/>
    <w:rsid w:val="000600BD"/>
    <w:rsid w:val="00060A8D"/>
    <w:rsid w:val="00060B63"/>
    <w:rsid w:val="000F5FB6"/>
    <w:rsid w:val="001543BC"/>
    <w:rsid w:val="00184F28"/>
    <w:rsid w:val="0020366C"/>
    <w:rsid w:val="00227BCD"/>
    <w:rsid w:val="002578AA"/>
    <w:rsid w:val="002B779F"/>
    <w:rsid w:val="002C2B7A"/>
    <w:rsid w:val="002F61BE"/>
    <w:rsid w:val="003004CF"/>
    <w:rsid w:val="003268A7"/>
    <w:rsid w:val="003D7100"/>
    <w:rsid w:val="00421A00"/>
    <w:rsid w:val="00462025"/>
    <w:rsid w:val="004C5E3A"/>
    <w:rsid w:val="00581531"/>
    <w:rsid w:val="00603288"/>
    <w:rsid w:val="006263F0"/>
    <w:rsid w:val="00695EBD"/>
    <w:rsid w:val="006C754D"/>
    <w:rsid w:val="006C78B2"/>
    <w:rsid w:val="007762D9"/>
    <w:rsid w:val="007E19B1"/>
    <w:rsid w:val="008515A6"/>
    <w:rsid w:val="008572D0"/>
    <w:rsid w:val="008758A4"/>
    <w:rsid w:val="00886011"/>
    <w:rsid w:val="008A3BEF"/>
    <w:rsid w:val="008B6AA8"/>
    <w:rsid w:val="0092431D"/>
    <w:rsid w:val="00A605FD"/>
    <w:rsid w:val="00AF0A7F"/>
    <w:rsid w:val="00AF51A7"/>
    <w:rsid w:val="00B05DDC"/>
    <w:rsid w:val="00B2637A"/>
    <w:rsid w:val="00B31D42"/>
    <w:rsid w:val="00B4719B"/>
    <w:rsid w:val="00BD0194"/>
    <w:rsid w:val="00BE5FE6"/>
    <w:rsid w:val="00C41D38"/>
    <w:rsid w:val="00C6548B"/>
    <w:rsid w:val="00CB4415"/>
    <w:rsid w:val="00D00515"/>
    <w:rsid w:val="00D222CE"/>
    <w:rsid w:val="00E334F8"/>
    <w:rsid w:val="00E87E73"/>
    <w:rsid w:val="00EB1DEE"/>
    <w:rsid w:val="00F31BDB"/>
    <w:rsid w:val="00F42A0F"/>
    <w:rsid w:val="00F833C8"/>
    <w:rsid w:val="00FD7975"/>
    <w:rsid w:val="0126384F"/>
    <w:rsid w:val="02AF383B"/>
    <w:rsid w:val="0395323F"/>
    <w:rsid w:val="03D816E2"/>
    <w:rsid w:val="04615859"/>
    <w:rsid w:val="054F0A8E"/>
    <w:rsid w:val="05656433"/>
    <w:rsid w:val="058014BF"/>
    <w:rsid w:val="07CC279A"/>
    <w:rsid w:val="08627EA5"/>
    <w:rsid w:val="09867761"/>
    <w:rsid w:val="09BE1CBD"/>
    <w:rsid w:val="0A217D99"/>
    <w:rsid w:val="0B574A70"/>
    <w:rsid w:val="0CED3374"/>
    <w:rsid w:val="0D2503E7"/>
    <w:rsid w:val="0EB93A32"/>
    <w:rsid w:val="0F304C9E"/>
    <w:rsid w:val="10DB2CC4"/>
    <w:rsid w:val="10DE4C2B"/>
    <w:rsid w:val="10F44005"/>
    <w:rsid w:val="112E79F7"/>
    <w:rsid w:val="118B328E"/>
    <w:rsid w:val="11A025A1"/>
    <w:rsid w:val="11AB0DFD"/>
    <w:rsid w:val="11F367E7"/>
    <w:rsid w:val="12301B77"/>
    <w:rsid w:val="125A4E46"/>
    <w:rsid w:val="125B6C0C"/>
    <w:rsid w:val="13373653"/>
    <w:rsid w:val="135D699C"/>
    <w:rsid w:val="146F7A5B"/>
    <w:rsid w:val="14C60571"/>
    <w:rsid w:val="16E42F30"/>
    <w:rsid w:val="175B58E8"/>
    <w:rsid w:val="18E36B94"/>
    <w:rsid w:val="190E3B93"/>
    <w:rsid w:val="1A176F08"/>
    <w:rsid w:val="1A4A077E"/>
    <w:rsid w:val="1A58610F"/>
    <w:rsid w:val="1AB25CF5"/>
    <w:rsid w:val="1B416BA3"/>
    <w:rsid w:val="1B5A34E2"/>
    <w:rsid w:val="1B8A2277"/>
    <w:rsid w:val="1C312FB0"/>
    <w:rsid w:val="1E285DF8"/>
    <w:rsid w:val="1F8B5E35"/>
    <w:rsid w:val="20D97055"/>
    <w:rsid w:val="216C5994"/>
    <w:rsid w:val="21F76CD1"/>
    <w:rsid w:val="24455600"/>
    <w:rsid w:val="2524556B"/>
    <w:rsid w:val="25401F8E"/>
    <w:rsid w:val="256B2E88"/>
    <w:rsid w:val="2679051E"/>
    <w:rsid w:val="2778394C"/>
    <w:rsid w:val="277B343D"/>
    <w:rsid w:val="27D112AE"/>
    <w:rsid w:val="27F85D17"/>
    <w:rsid w:val="284952E9"/>
    <w:rsid w:val="28D17481"/>
    <w:rsid w:val="2A825E7A"/>
    <w:rsid w:val="2B5B415A"/>
    <w:rsid w:val="2B8E7BE2"/>
    <w:rsid w:val="2BE23A8A"/>
    <w:rsid w:val="2C2E6764"/>
    <w:rsid w:val="2C4712CD"/>
    <w:rsid w:val="2C636112"/>
    <w:rsid w:val="2C894BA0"/>
    <w:rsid w:val="2E3D769E"/>
    <w:rsid w:val="2E841817"/>
    <w:rsid w:val="2ECD27D0"/>
    <w:rsid w:val="2F035970"/>
    <w:rsid w:val="31067AD9"/>
    <w:rsid w:val="314E0AC9"/>
    <w:rsid w:val="317F3B29"/>
    <w:rsid w:val="32081D71"/>
    <w:rsid w:val="32EB591A"/>
    <w:rsid w:val="34A51AF9"/>
    <w:rsid w:val="34BF705E"/>
    <w:rsid w:val="3580114E"/>
    <w:rsid w:val="3596288C"/>
    <w:rsid w:val="36B81FB7"/>
    <w:rsid w:val="37737C8C"/>
    <w:rsid w:val="37F9283D"/>
    <w:rsid w:val="38DE4F84"/>
    <w:rsid w:val="3A8F302F"/>
    <w:rsid w:val="3BAA486B"/>
    <w:rsid w:val="3C11039F"/>
    <w:rsid w:val="3D361BC9"/>
    <w:rsid w:val="3DCD28EF"/>
    <w:rsid w:val="3E5B511D"/>
    <w:rsid w:val="3E777D16"/>
    <w:rsid w:val="3EDD21E1"/>
    <w:rsid w:val="3FEC2CD2"/>
    <w:rsid w:val="404B360D"/>
    <w:rsid w:val="40881662"/>
    <w:rsid w:val="41546D80"/>
    <w:rsid w:val="41F5520C"/>
    <w:rsid w:val="423746D8"/>
    <w:rsid w:val="456A6B72"/>
    <w:rsid w:val="45955582"/>
    <w:rsid w:val="45A2455E"/>
    <w:rsid w:val="464D7120"/>
    <w:rsid w:val="47862F24"/>
    <w:rsid w:val="47EA5D49"/>
    <w:rsid w:val="484B421A"/>
    <w:rsid w:val="48AA73A8"/>
    <w:rsid w:val="490966A2"/>
    <w:rsid w:val="4AD06B77"/>
    <w:rsid w:val="4B8C1BDC"/>
    <w:rsid w:val="4C123A5E"/>
    <w:rsid w:val="4C4C0742"/>
    <w:rsid w:val="4F253B0A"/>
    <w:rsid w:val="4FA47125"/>
    <w:rsid w:val="4FCD5224"/>
    <w:rsid w:val="50326CC0"/>
    <w:rsid w:val="50FF3888"/>
    <w:rsid w:val="51C24811"/>
    <w:rsid w:val="51C5019B"/>
    <w:rsid w:val="51FC0A11"/>
    <w:rsid w:val="524B7A9F"/>
    <w:rsid w:val="52C5188C"/>
    <w:rsid w:val="52CB1154"/>
    <w:rsid w:val="54330A77"/>
    <w:rsid w:val="543D4BCB"/>
    <w:rsid w:val="54DC110F"/>
    <w:rsid w:val="54EA310D"/>
    <w:rsid w:val="550D6461"/>
    <w:rsid w:val="55BE4FD8"/>
    <w:rsid w:val="55FF3E23"/>
    <w:rsid w:val="56325CFA"/>
    <w:rsid w:val="56B063AF"/>
    <w:rsid w:val="579B1500"/>
    <w:rsid w:val="582E6459"/>
    <w:rsid w:val="58DC348C"/>
    <w:rsid w:val="59360ECA"/>
    <w:rsid w:val="599975CF"/>
    <w:rsid w:val="5A835D7A"/>
    <w:rsid w:val="5ADF3707"/>
    <w:rsid w:val="5BCA5273"/>
    <w:rsid w:val="5D1458EA"/>
    <w:rsid w:val="5D7D18C9"/>
    <w:rsid w:val="5D8E18DF"/>
    <w:rsid w:val="5DCD62C8"/>
    <w:rsid w:val="5EB86385"/>
    <w:rsid w:val="5F0E59BB"/>
    <w:rsid w:val="5F3F29C6"/>
    <w:rsid w:val="5FBC4017"/>
    <w:rsid w:val="5FC9460B"/>
    <w:rsid w:val="60A52CFD"/>
    <w:rsid w:val="60AF7310"/>
    <w:rsid w:val="63185A08"/>
    <w:rsid w:val="63876475"/>
    <w:rsid w:val="643E2F77"/>
    <w:rsid w:val="64BC6A30"/>
    <w:rsid w:val="64E712D1"/>
    <w:rsid w:val="66415276"/>
    <w:rsid w:val="676B737A"/>
    <w:rsid w:val="67C63C85"/>
    <w:rsid w:val="6990454A"/>
    <w:rsid w:val="69AC6C0B"/>
    <w:rsid w:val="6AA638F9"/>
    <w:rsid w:val="6ABC4ECB"/>
    <w:rsid w:val="6B0A0CB8"/>
    <w:rsid w:val="6C006BC9"/>
    <w:rsid w:val="6CAC41CF"/>
    <w:rsid w:val="6CFF6F60"/>
    <w:rsid w:val="6D8617C0"/>
    <w:rsid w:val="6E31038A"/>
    <w:rsid w:val="6EF54E4F"/>
    <w:rsid w:val="6F241638"/>
    <w:rsid w:val="70715C86"/>
    <w:rsid w:val="71125845"/>
    <w:rsid w:val="71A22CD0"/>
    <w:rsid w:val="72477770"/>
    <w:rsid w:val="726038F1"/>
    <w:rsid w:val="73017362"/>
    <w:rsid w:val="743B3318"/>
    <w:rsid w:val="74A52382"/>
    <w:rsid w:val="74F84E8B"/>
    <w:rsid w:val="755D7CEF"/>
    <w:rsid w:val="75B70374"/>
    <w:rsid w:val="75D27C98"/>
    <w:rsid w:val="764010A6"/>
    <w:rsid w:val="76520A98"/>
    <w:rsid w:val="76937428"/>
    <w:rsid w:val="77D0645A"/>
    <w:rsid w:val="78051F90"/>
    <w:rsid w:val="782478C7"/>
    <w:rsid w:val="7831293A"/>
    <w:rsid w:val="788052D7"/>
    <w:rsid w:val="78E81581"/>
    <w:rsid w:val="791B54B2"/>
    <w:rsid w:val="79F0306D"/>
    <w:rsid w:val="7A9E5543"/>
    <w:rsid w:val="7AAF67FA"/>
    <w:rsid w:val="7CE16A13"/>
    <w:rsid w:val="7D5B6B39"/>
    <w:rsid w:val="7DB61C4E"/>
    <w:rsid w:val="7DDF11A4"/>
    <w:rsid w:val="7E5C08A9"/>
    <w:rsid w:val="7E742588"/>
    <w:rsid w:val="7E8A55B4"/>
    <w:rsid w:val="7FC62727"/>
    <w:rsid w:val="7FDC0A38"/>
    <w:rsid w:val="7FDD19C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99"/>
    <w:rPr>
      <w:szCs w:val="21"/>
    </w:rPr>
  </w:style>
  <w:style w:type="paragraph" w:styleId="3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Char"/>
    <w:basedOn w:val="7"/>
    <w:link w:val="5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4"/>
    <w:qFormat/>
    <w:uiPriority w:val="99"/>
    <w:rPr>
      <w:sz w:val="18"/>
      <w:szCs w:val="18"/>
    </w:rPr>
  </w:style>
  <w:style w:type="character" w:customStyle="1" w:styleId="10">
    <w:name w:val="批注框文本 Char"/>
    <w:basedOn w:val="7"/>
    <w:link w:val="3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 textRotate="1"/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1187</Words>
  <Characters>1210</Characters>
  <Lines>10</Lines>
  <Paragraphs>2</Paragraphs>
  <TotalTime>7</TotalTime>
  <ScaleCrop>false</ScaleCrop>
  <LinksUpToDate>false</LinksUpToDate>
  <CharactersWithSpaces>1212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2023-09-14T02:31:00Z</dcterms:created>
  <dc:creator>PC</dc:creator>
  <cp:lastModifiedBy>刘良晃</cp:lastModifiedBy>
  <cp:lastPrinted>2025-02-21T07:47:00Z</cp:lastPrinted>
  <dcterms:modified xsi:type="dcterms:W3CDTF">2025-02-24T01:27:08Z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7FDE5563F4004D168AB8BABC796F8592</vt:lpwstr>
  </property>
  <property fmtid="{D5CDD505-2E9C-101B-9397-08002B2CF9AE}" pid="4" name="KSOTemplateDocerSaveRecord">
    <vt:lpwstr>eyJoZGlkIjoiZjYxMDViYThlMDE2NTMwOGQyNWVlNWY2YTRjMDhmZTMiLCJ1c2VySWQiOiI1ODAxMzg3NzAifQ==</vt:lpwstr>
  </property>
</Properties>
</file>