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2023年预算绩效管理工作开展情况及2024年工作重点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44"/>
        </w:rPr>
        <w:t>2023年</w:t>
      </w:r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我市高质量完成年度预算绩效管理工作，获评省财政厅绩效管理考核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优秀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，在全省经验交流会上作典型发言。现将有关情况公示如下：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一、工作概况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2023年，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浏阳市财政局共组织完成财政</w:t>
      </w:r>
      <w:r>
        <w:rPr>
          <w:rFonts w:ascii="Times New Roman" w:hAnsi="Times New Roman" w:eastAsia="仿宋_GB2312" w:cs="Times New Roman"/>
          <w:sz w:val="32"/>
          <w:szCs w:val="44"/>
        </w:rPr>
        <w:t>评价项目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44"/>
          <w:lang w:val="en-US" w:eastAsia="zh-CN"/>
        </w:rPr>
        <w:t>40</w:t>
      </w:r>
      <w:r>
        <w:rPr>
          <w:rFonts w:ascii="Times New Roman" w:hAnsi="Times New Roman" w:eastAsia="仿宋_GB2312" w:cs="Times New Roman"/>
          <w:sz w:val="32"/>
          <w:szCs w:val="44"/>
        </w:rPr>
        <w:t>个，</w:t>
      </w:r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其中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事前评估</w:t>
      </w:r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6个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、事中监控</w:t>
      </w: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8个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、事后评价</w:t>
      </w: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24个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、整改再评价</w:t>
      </w:r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及政策后评估</w:t>
      </w:r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各</w:t>
      </w: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1个</w:t>
      </w:r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涉及</w:t>
      </w: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预算单位30个、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评价资金1</w:t>
      </w: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.</w:t>
      </w: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亿元</w:t>
      </w:r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44"/>
          <w:lang w:val="en-US" w:eastAsia="zh-CN"/>
        </w:rPr>
        <w:t>全方位、全过程、全覆盖的预算绩效管理体系进一步健全</w:t>
      </w:r>
      <w:r>
        <w:rPr>
          <w:rFonts w:hint="eastAsia" w:ascii="Times New Roman" w:hAnsi="Times New Roman" w:eastAsia="仿宋_GB2312" w:cs="Times New Roman"/>
          <w:sz w:val="32"/>
          <w:szCs w:val="44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44"/>
          <w:lang w:eastAsia="zh-CN"/>
        </w:rPr>
        <w:t>“花钱必问效、无效必问责”的氛围进一步浓厚。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二、主要做法和经验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）政策项目全覆盖评估，把好支持准入关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一是</w:t>
      </w:r>
      <w:r>
        <w:rPr>
          <w:rFonts w:ascii="Times New Roman" w:hAnsi="Times New Roman" w:eastAsia="仿宋_GB2312" w:cs="Times New Roman"/>
          <w:sz w:val="32"/>
          <w:szCs w:val="32"/>
        </w:rPr>
        <w:t>积极构建“部门全面评估+财政重点评估”模式，健全完善重大政策和项目事前绩效评估机制，将评估结果作为重大政策和项目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实施</w:t>
      </w:r>
      <w:r>
        <w:rPr>
          <w:rFonts w:ascii="Times New Roman" w:hAnsi="Times New Roman" w:eastAsia="仿宋_GB2312" w:cs="Times New Roman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主要依据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二是</w:t>
      </w:r>
      <w:r>
        <w:rPr>
          <w:rFonts w:ascii="Times New Roman" w:hAnsi="Times New Roman" w:eastAsia="仿宋_GB2312" w:cs="Times New Roman"/>
          <w:sz w:val="32"/>
          <w:szCs w:val="32"/>
        </w:rPr>
        <w:t>对未开展事前绩效评估或评估结果为“不予支持”的，不纳入项目库和安排预算；对评估结果为“予以支持”的，根据轻重缓急和财力情况统筹考虑。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（二）乡镇街道全方位评价，健全绩效考核表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一是</w:t>
      </w:r>
      <w:r>
        <w:rPr>
          <w:rFonts w:ascii="Times New Roman" w:hAnsi="Times New Roman" w:eastAsia="仿宋_GB2312" w:cs="Times New Roman"/>
          <w:sz w:val="32"/>
          <w:szCs w:val="32"/>
        </w:rPr>
        <w:t>在2021年试点和2022年铺开的基础上，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全</w:t>
      </w:r>
      <w:r>
        <w:rPr>
          <w:rFonts w:ascii="Times New Roman" w:hAnsi="Times New Roman" w:eastAsia="仿宋_GB2312" w:cs="Times New Roman"/>
          <w:sz w:val="32"/>
          <w:szCs w:val="32"/>
        </w:rPr>
        <w:t>年继续安排6个乡镇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</w:t>
      </w:r>
      <w:r>
        <w:rPr>
          <w:rFonts w:ascii="Times New Roman" w:hAnsi="Times New Roman" w:eastAsia="仿宋_GB2312" w:cs="Times New Roman"/>
          <w:sz w:val="32"/>
          <w:szCs w:val="32"/>
        </w:rPr>
        <w:t>整体支出绩效评价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结</w:t>
      </w:r>
      <w:r>
        <w:rPr>
          <w:rFonts w:ascii="Times New Roman" w:hAnsi="Times New Roman" w:eastAsia="仿宋_GB2312" w:cs="Times New Roman"/>
          <w:sz w:val="32"/>
          <w:szCs w:val="32"/>
        </w:rPr>
        <w:t>合乡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镇财政各项考核指标，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探索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建立</w:t>
      </w:r>
      <w:r>
        <w:rPr>
          <w:rFonts w:ascii="Times New Roman" w:hAnsi="Times New Roman" w:eastAsia="仿宋_GB2312" w:cs="Times New Roman"/>
          <w:sz w:val="32"/>
          <w:szCs w:val="32"/>
        </w:rPr>
        <w:t>乡镇（街道）整体支出评价体系，提升评价工作公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正</w:t>
      </w:r>
      <w:r>
        <w:rPr>
          <w:rFonts w:ascii="Times New Roman" w:hAnsi="Times New Roman" w:eastAsia="仿宋_GB2312" w:cs="Times New Roman"/>
          <w:sz w:val="32"/>
          <w:szCs w:val="32"/>
        </w:rPr>
        <w:t>性和科学性，为市委、市政府对乡镇考核提供参考依据。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二是积极探索绩效评价在乡村振兴战略中的位置和路径，撰写《乡村要振兴，绩效必先行》在《新湖南》上发表，《湖南浏阳财政绩效评价助力乡村振兴》在《中国财经报》上发表。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（三）评价结果刚性化应用，财审联动双约束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是绩效评价结果一律公示在政府门户网站。对于评价发现的问题，以书面形式通知被评价单位限期整改，绩效科根据预算单位报送的整改资料组织“回头看”，对整改落实不到位的单位于下一年度开展整改再评价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二是</w:t>
      </w:r>
      <w:r>
        <w:rPr>
          <w:rFonts w:ascii="Times New Roman" w:hAnsi="Times New Roman" w:eastAsia="仿宋_GB2312" w:cs="Times New Roman"/>
          <w:sz w:val="32"/>
          <w:szCs w:val="32"/>
        </w:rPr>
        <w:t>将绩效评价结果与年度预算安排挂钩，按照部门预算要求，对评价结果为“较差”“差”的项目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按比例</w:t>
      </w:r>
      <w:r>
        <w:rPr>
          <w:rFonts w:ascii="Times New Roman" w:hAnsi="Times New Roman" w:eastAsia="仿宋_GB2312" w:cs="Times New Roman"/>
          <w:sz w:val="32"/>
          <w:szCs w:val="32"/>
        </w:rPr>
        <w:t>核减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预算</w:t>
      </w:r>
      <w:r>
        <w:rPr>
          <w:rFonts w:ascii="Times New Roman" w:hAnsi="Times New Roman" w:eastAsia="仿宋_GB2312" w:cs="Times New Roman"/>
          <w:sz w:val="32"/>
          <w:szCs w:val="32"/>
        </w:rPr>
        <w:t>直至取消。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三是</w:t>
      </w:r>
      <w:r>
        <w:rPr>
          <w:rFonts w:ascii="Times New Roman" w:hAnsi="Times New Roman" w:eastAsia="仿宋_GB2312" w:cs="Times New Roman"/>
          <w:sz w:val="32"/>
          <w:szCs w:val="32"/>
        </w:rPr>
        <w:t>纳入重点评价计划的项目评价结果与单位年度考核挂钩，对评价结果为“优”的给予考核加分，结果为“较差”和“差”的分别给予考核扣分和双倍扣分。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三、2024年工作重点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_GB2312" w:cs="Times New Roman"/>
          <w:b/>
          <w:sz w:val="32"/>
          <w:szCs w:val="44"/>
        </w:rPr>
      </w:pPr>
      <w:r>
        <w:rPr>
          <w:rFonts w:hint="eastAsia" w:ascii="Times New Roman" w:hAnsi="Times New Roman" w:eastAsia="楷体_GB2312" w:cs="Times New Roman"/>
          <w:b/>
          <w:sz w:val="32"/>
          <w:szCs w:val="44"/>
        </w:rPr>
        <w:t>（一）实现日常管理精细化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落实工作情况每周一报、被评价单位每项目一回执等机制，对第三方机构在浏履职情况和履职效能进行全过程、全方位的管理考核，为本年度高质量评价报告和考核结果应用打下坚实基础。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_GB2312" w:cs="Times New Roman"/>
          <w:b/>
          <w:sz w:val="32"/>
          <w:szCs w:val="44"/>
        </w:rPr>
      </w:pPr>
      <w:r>
        <w:rPr>
          <w:rFonts w:hint="eastAsia" w:ascii="Times New Roman" w:hAnsi="Times New Roman" w:eastAsia="楷体_GB2312" w:cs="Times New Roman"/>
          <w:b/>
          <w:sz w:val="32"/>
          <w:szCs w:val="44"/>
        </w:rPr>
        <w:t>（二）提升绩效管理信息化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托智慧财政平台建设，利用预算管理一体化系统绩效管理板块上线契机，实现预算绩效管理的电子化、信息化，进一步解决以往绩效目标管理不够重视、绩效目标监控不够及时、绩效评价结果应用不够刚性等问题，以实现绩效管理高效能。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_GB2312" w:cs="Times New Roman"/>
          <w:b/>
          <w:sz w:val="32"/>
          <w:szCs w:val="44"/>
        </w:rPr>
      </w:pPr>
      <w:r>
        <w:rPr>
          <w:rFonts w:hint="eastAsia" w:ascii="Times New Roman" w:hAnsi="Times New Roman" w:eastAsia="楷体_GB2312" w:cs="Times New Roman"/>
          <w:b/>
          <w:sz w:val="32"/>
          <w:szCs w:val="44"/>
        </w:rPr>
        <w:t>（三）扩宽绩效管理覆盖面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在加大对市直部门项目和整体支出绩效评价力度的同时，加快乡镇财政资金绩效评价的试点进度，推动预算绩效管理“全覆盖”实现进程</w:t>
      </w:r>
      <w:r>
        <w:rPr>
          <w:rFonts w:hint="eastAsia" w:ascii="仿宋_GB2312" w:eastAsia="仿宋_GB2312"/>
          <w:sz w:val="32"/>
          <w:szCs w:val="32"/>
          <w:lang w:eastAsia="zh-CN"/>
        </w:rPr>
        <w:t>，构建“纵向到底、横向到边”的财会大监督格局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楷体_GB2312" w:cs="Times New Roman"/>
          <w:b/>
          <w:sz w:val="32"/>
          <w:szCs w:val="44"/>
        </w:rPr>
      </w:pPr>
      <w:r>
        <w:rPr>
          <w:rFonts w:hint="eastAsia" w:ascii="Times New Roman" w:hAnsi="Times New Roman" w:eastAsia="楷体_GB2312" w:cs="Times New Roman"/>
          <w:b/>
          <w:sz w:val="32"/>
          <w:szCs w:val="44"/>
        </w:rPr>
        <w:t>（四）推动绩效理念普及化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有计划</w:t>
      </w:r>
      <w:r>
        <w:rPr>
          <w:rFonts w:hint="eastAsia" w:ascii="仿宋_GB2312" w:eastAsia="仿宋_GB2312"/>
          <w:sz w:val="32"/>
          <w:szCs w:val="32"/>
        </w:rPr>
        <w:t>组织绩效管理培训，并加大预算绩效管理理念的宣传力度，进一步推动预算绩效管理理念入脑入心，进而真正应用到财政资金管理和项目管理中，发挥预算绩效管理在提升资金效益、优化资源配置中的积极作用。</w:t>
      </w:r>
    </w:p>
    <w:sectPr>
      <w:footerReference r:id="rId3" w:type="default"/>
      <w:pgSz w:w="11906" w:h="16838"/>
      <w:pgMar w:top="1587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08046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BlYmVlOTMzNmE1ODZhZDM3NmFjNDQwMDM3YTIzNjcifQ=="/>
    <w:docVar w:name="KSO_WPS_MARK_KEY" w:val="5f231af3-a019-4cae-9cdd-57b059b0f0ed"/>
  </w:docVars>
  <w:rsids>
    <w:rsidRoot w:val="003D7100"/>
    <w:rsid w:val="00003E39"/>
    <w:rsid w:val="000121C4"/>
    <w:rsid w:val="000600BD"/>
    <w:rsid w:val="00060A8D"/>
    <w:rsid w:val="00060B63"/>
    <w:rsid w:val="000F5FB6"/>
    <w:rsid w:val="001543BC"/>
    <w:rsid w:val="00184F28"/>
    <w:rsid w:val="0020366C"/>
    <w:rsid w:val="00227BCD"/>
    <w:rsid w:val="002578AA"/>
    <w:rsid w:val="002B779F"/>
    <w:rsid w:val="002C2B7A"/>
    <w:rsid w:val="002F61BE"/>
    <w:rsid w:val="003004CF"/>
    <w:rsid w:val="003268A7"/>
    <w:rsid w:val="003D7100"/>
    <w:rsid w:val="00421A00"/>
    <w:rsid w:val="00462025"/>
    <w:rsid w:val="004C5E3A"/>
    <w:rsid w:val="00581531"/>
    <w:rsid w:val="00603288"/>
    <w:rsid w:val="006263F0"/>
    <w:rsid w:val="00695EBD"/>
    <w:rsid w:val="006C754D"/>
    <w:rsid w:val="006C78B2"/>
    <w:rsid w:val="007762D9"/>
    <w:rsid w:val="007E19B1"/>
    <w:rsid w:val="008515A6"/>
    <w:rsid w:val="008572D0"/>
    <w:rsid w:val="008758A4"/>
    <w:rsid w:val="00886011"/>
    <w:rsid w:val="008A3BEF"/>
    <w:rsid w:val="008B6AA8"/>
    <w:rsid w:val="0092431D"/>
    <w:rsid w:val="00A605FD"/>
    <w:rsid w:val="00AF0A7F"/>
    <w:rsid w:val="00AF51A7"/>
    <w:rsid w:val="00B05DDC"/>
    <w:rsid w:val="00B2637A"/>
    <w:rsid w:val="00B31D42"/>
    <w:rsid w:val="00B4719B"/>
    <w:rsid w:val="00BD0194"/>
    <w:rsid w:val="00BE5FE6"/>
    <w:rsid w:val="00C41D38"/>
    <w:rsid w:val="00C6548B"/>
    <w:rsid w:val="00CB4415"/>
    <w:rsid w:val="00D00515"/>
    <w:rsid w:val="00D222CE"/>
    <w:rsid w:val="00E334F8"/>
    <w:rsid w:val="00E87E73"/>
    <w:rsid w:val="00EB1DEE"/>
    <w:rsid w:val="00F31BDB"/>
    <w:rsid w:val="00F42A0F"/>
    <w:rsid w:val="00F833C8"/>
    <w:rsid w:val="00FD7975"/>
    <w:rsid w:val="0126384F"/>
    <w:rsid w:val="02AF383B"/>
    <w:rsid w:val="0395323F"/>
    <w:rsid w:val="03D816E2"/>
    <w:rsid w:val="04615859"/>
    <w:rsid w:val="054F0A8E"/>
    <w:rsid w:val="05656433"/>
    <w:rsid w:val="058014BF"/>
    <w:rsid w:val="07CC279A"/>
    <w:rsid w:val="08627EA5"/>
    <w:rsid w:val="09867761"/>
    <w:rsid w:val="0B574A70"/>
    <w:rsid w:val="0CED3374"/>
    <w:rsid w:val="0D2503E7"/>
    <w:rsid w:val="0EB93A32"/>
    <w:rsid w:val="0F304C9E"/>
    <w:rsid w:val="10DB2CC4"/>
    <w:rsid w:val="112E79F7"/>
    <w:rsid w:val="118B328E"/>
    <w:rsid w:val="11A025A1"/>
    <w:rsid w:val="11AB0DFD"/>
    <w:rsid w:val="12301B77"/>
    <w:rsid w:val="125A4E46"/>
    <w:rsid w:val="125B6C0C"/>
    <w:rsid w:val="13373653"/>
    <w:rsid w:val="135D699C"/>
    <w:rsid w:val="146F7A5B"/>
    <w:rsid w:val="16E42F30"/>
    <w:rsid w:val="18E36B94"/>
    <w:rsid w:val="190E3B93"/>
    <w:rsid w:val="1A176F08"/>
    <w:rsid w:val="1A4A077E"/>
    <w:rsid w:val="1A58610F"/>
    <w:rsid w:val="1AB25CF5"/>
    <w:rsid w:val="1B416BA3"/>
    <w:rsid w:val="1B5A34E2"/>
    <w:rsid w:val="1B8A2277"/>
    <w:rsid w:val="1C312FB0"/>
    <w:rsid w:val="1E285DF8"/>
    <w:rsid w:val="1F8B5E35"/>
    <w:rsid w:val="20D97055"/>
    <w:rsid w:val="216C5994"/>
    <w:rsid w:val="21F76CD1"/>
    <w:rsid w:val="2524556B"/>
    <w:rsid w:val="25401F8E"/>
    <w:rsid w:val="256B2E88"/>
    <w:rsid w:val="2679051E"/>
    <w:rsid w:val="277B343D"/>
    <w:rsid w:val="27D112AE"/>
    <w:rsid w:val="27F85D17"/>
    <w:rsid w:val="284952E9"/>
    <w:rsid w:val="2A825E7A"/>
    <w:rsid w:val="2B5B415A"/>
    <w:rsid w:val="2B8E7BE2"/>
    <w:rsid w:val="2BE23A8A"/>
    <w:rsid w:val="2C2E6764"/>
    <w:rsid w:val="2C4712CD"/>
    <w:rsid w:val="2C636112"/>
    <w:rsid w:val="2C894BA0"/>
    <w:rsid w:val="2E3D769E"/>
    <w:rsid w:val="2E841817"/>
    <w:rsid w:val="2ECD27D0"/>
    <w:rsid w:val="2F035970"/>
    <w:rsid w:val="317F3B29"/>
    <w:rsid w:val="32081D71"/>
    <w:rsid w:val="32EB591A"/>
    <w:rsid w:val="34A51AF9"/>
    <w:rsid w:val="34BF705E"/>
    <w:rsid w:val="3580114E"/>
    <w:rsid w:val="3596288C"/>
    <w:rsid w:val="36B81FB7"/>
    <w:rsid w:val="37737C8C"/>
    <w:rsid w:val="37F9283D"/>
    <w:rsid w:val="3A8F302F"/>
    <w:rsid w:val="3BAA486B"/>
    <w:rsid w:val="3C11039F"/>
    <w:rsid w:val="3DCD28EF"/>
    <w:rsid w:val="3E5B511D"/>
    <w:rsid w:val="3E777D16"/>
    <w:rsid w:val="3EDD21E1"/>
    <w:rsid w:val="3FEC2CD2"/>
    <w:rsid w:val="404B360D"/>
    <w:rsid w:val="40881662"/>
    <w:rsid w:val="41546D80"/>
    <w:rsid w:val="41F5520C"/>
    <w:rsid w:val="423746D8"/>
    <w:rsid w:val="456A6B72"/>
    <w:rsid w:val="45955582"/>
    <w:rsid w:val="464D7120"/>
    <w:rsid w:val="47862F24"/>
    <w:rsid w:val="47EA5D49"/>
    <w:rsid w:val="484B421A"/>
    <w:rsid w:val="48AA73A8"/>
    <w:rsid w:val="490966A2"/>
    <w:rsid w:val="4AD06B77"/>
    <w:rsid w:val="4B8C1BDC"/>
    <w:rsid w:val="4C123A5E"/>
    <w:rsid w:val="4C4C0742"/>
    <w:rsid w:val="4F253B0A"/>
    <w:rsid w:val="4FA47125"/>
    <w:rsid w:val="4FCD5224"/>
    <w:rsid w:val="50326CC0"/>
    <w:rsid w:val="50FF3888"/>
    <w:rsid w:val="51C24811"/>
    <w:rsid w:val="51C5019B"/>
    <w:rsid w:val="524B7A9F"/>
    <w:rsid w:val="52C5188C"/>
    <w:rsid w:val="52CB1154"/>
    <w:rsid w:val="543D4BCB"/>
    <w:rsid w:val="54DC110F"/>
    <w:rsid w:val="54EA310D"/>
    <w:rsid w:val="550D6461"/>
    <w:rsid w:val="55BE4FD8"/>
    <w:rsid w:val="55FF3E23"/>
    <w:rsid w:val="56325CFA"/>
    <w:rsid w:val="56B063AF"/>
    <w:rsid w:val="579B1500"/>
    <w:rsid w:val="582E6459"/>
    <w:rsid w:val="58DC348C"/>
    <w:rsid w:val="59360ECA"/>
    <w:rsid w:val="599975CF"/>
    <w:rsid w:val="5ADF3707"/>
    <w:rsid w:val="5BCA5273"/>
    <w:rsid w:val="5D7D18C9"/>
    <w:rsid w:val="5DCD62C8"/>
    <w:rsid w:val="5EB86385"/>
    <w:rsid w:val="5F0E59BB"/>
    <w:rsid w:val="5F3F29C6"/>
    <w:rsid w:val="5FBC4017"/>
    <w:rsid w:val="5FC9460B"/>
    <w:rsid w:val="60A52CFD"/>
    <w:rsid w:val="60AF7310"/>
    <w:rsid w:val="63185A08"/>
    <w:rsid w:val="63876475"/>
    <w:rsid w:val="643E2F77"/>
    <w:rsid w:val="64BC6A30"/>
    <w:rsid w:val="64E712D1"/>
    <w:rsid w:val="66415276"/>
    <w:rsid w:val="676B737A"/>
    <w:rsid w:val="67C63C85"/>
    <w:rsid w:val="6990454A"/>
    <w:rsid w:val="69AC6C0B"/>
    <w:rsid w:val="6AA638F9"/>
    <w:rsid w:val="6ABC4ECB"/>
    <w:rsid w:val="6B0A0CB8"/>
    <w:rsid w:val="6C006BC9"/>
    <w:rsid w:val="6CAC41CF"/>
    <w:rsid w:val="6CFF6F60"/>
    <w:rsid w:val="6D8617C0"/>
    <w:rsid w:val="6E31038A"/>
    <w:rsid w:val="6EF54E4F"/>
    <w:rsid w:val="6F241638"/>
    <w:rsid w:val="70715C86"/>
    <w:rsid w:val="71125845"/>
    <w:rsid w:val="726038F1"/>
    <w:rsid w:val="73017362"/>
    <w:rsid w:val="743B3318"/>
    <w:rsid w:val="74A52382"/>
    <w:rsid w:val="74F84E8B"/>
    <w:rsid w:val="755D7CEF"/>
    <w:rsid w:val="75B70374"/>
    <w:rsid w:val="75D27C98"/>
    <w:rsid w:val="764010A6"/>
    <w:rsid w:val="76520A98"/>
    <w:rsid w:val="76937428"/>
    <w:rsid w:val="77D0645A"/>
    <w:rsid w:val="78051F90"/>
    <w:rsid w:val="782478C7"/>
    <w:rsid w:val="7831293A"/>
    <w:rsid w:val="788052D7"/>
    <w:rsid w:val="78E81581"/>
    <w:rsid w:val="791B54B2"/>
    <w:rsid w:val="79F0306D"/>
    <w:rsid w:val="7A9E5543"/>
    <w:rsid w:val="7AAF67FA"/>
    <w:rsid w:val="7CE16A13"/>
    <w:rsid w:val="7D5B6B39"/>
    <w:rsid w:val="7DB61C4E"/>
    <w:rsid w:val="7DDF11A4"/>
    <w:rsid w:val="7E5C08A9"/>
    <w:rsid w:val="7E742588"/>
    <w:rsid w:val="7E8A55B4"/>
    <w:rsid w:val="7FC62727"/>
    <w:rsid w:val="7FDC0A38"/>
    <w:rsid w:val="7FDD19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szCs w:val="21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1249</Words>
  <Characters>1277</Characters>
  <Lines>10</Lines>
  <Paragraphs>2</Paragraphs>
  <TotalTime>3</TotalTime>
  <ScaleCrop>false</ScaleCrop>
  <LinksUpToDate>false</LinksUpToDate>
  <CharactersWithSpaces>1279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2023-09-14T02:31:00Z</dcterms:created>
  <dc:creator>PC</dc:creator>
  <cp:lastModifiedBy>廖亚萍</cp:lastModifiedBy>
  <cp:lastPrinted>2024-02-23T02:33:22Z</cp:lastPrinted>
  <dcterms:modified xsi:type="dcterms:W3CDTF">2024-02-23T02:33:55Z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7FDE5563F4004D168AB8BABC796F8592</vt:lpwstr>
  </property>
</Properties>
</file>