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420"/>
        </w:tabs>
        <w:spacing w:line="580" w:lineRule="exact"/>
        <w:jc w:val="right"/>
        <w:rPr>
          <w:rFonts w:ascii="仿宋_GB2312" w:eastAsia="仿宋_GB2312"/>
          <w:sz w:val="28"/>
        </w:rPr>
      </w:pPr>
      <w:r>
        <w:rPr>
          <w:rFonts w:hint="eastAsia"/>
          <w:sz w:val="44"/>
        </w:rPr>
        <w:t xml:space="preserve"> </w:t>
      </w:r>
    </w:p>
    <w:p>
      <w:pPr>
        <w:rPr>
          <w:sz w:val="44"/>
        </w:rPr>
      </w:pPr>
      <w:r>
        <w:rPr>
          <w:rFonts w:hint="eastAsia"/>
          <w:sz w:val="44"/>
        </w:rPr>
        <w:t xml:space="preserve"> </w:t>
      </w:r>
    </w:p>
    <w:p>
      <w:pPr>
        <w:spacing w:line="700" w:lineRule="exact"/>
        <w:jc w:val="center"/>
        <w:outlineLvl w:val="0"/>
        <w:rPr>
          <w:rFonts w:hint="eastAsia" w:cs="Times New Roman" w:asciiTheme="majorEastAsia" w:hAnsiTheme="majorEastAsia" w:eastAsiaTheme="majorEastAsia"/>
          <w:b/>
          <w:sz w:val="44"/>
          <w:szCs w:val="44"/>
          <w:lang w:eastAsia="zh-CN"/>
        </w:rPr>
      </w:pPr>
      <w:bookmarkStart w:id="4" w:name="_GoBack"/>
      <w:r>
        <w:rPr>
          <w:rFonts w:hint="eastAsia" w:cs="Times New Roman" w:asciiTheme="majorEastAsia" w:hAnsiTheme="majorEastAsia" w:eastAsiaTheme="majorEastAsia"/>
          <w:b/>
          <w:sz w:val="44"/>
          <w:szCs w:val="44"/>
          <w:lang w:eastAsia="zh-CN"/>
        </w:rPr>
        <w:t>中国共产主义青年团浏阳市委员会</w:t>
      </w:r>
    </w:p>
    <w:p>
      <w:pPr>
        <w:spacing w:line="700" w:lineRule="exact"/>
        <w:jc w:val="center"/>
        <w:outlineLvl w:val="0"/>
        <w:rPr>
          <w:rFonts w:cs="Times New Roman" w:asciiTheme="majorEastAsia" w:hAnsiTheme="majorEastAsia" w:eastAsiaTheme="majorEastAsia"/>
          <w:b/>
          <w:sz w:val="44"/>
          <w:szCs w:val="44"/>
        </w:rPr>
      </w:pPr>
      <w:r>
        <w:rPr>
          <w:rFonts w:hint="eastAsia" w:cs="Times New Roman" w:asciiTheme="majorEastAsia" w:hAnsiTheme="majorEastAsia" w:eastAsiaTheme="majorEastAsia"/>
          <w:b/>
          <w:sz w:val="44"/>
          <w:szCs w:val="44"/>
        </w:rPr>
        <w:t>2022年度部门整体支出绩效自评报告</w:t>
      </w:r>
    </w:p>
    <w:bookmarkEnd w:id="4"/>
    <w:p>
      <w:pPr>
        <w:spacing w:line="240" w:lineRule="atLeast"/>
        <w:jc w:val="center"/>
        <w:rPr>
          <w:rFonts w:ascii="宋体" w:hAnsi="宋体" w:eastAsia="宋体" w:cs="宋体"/>
          <w:b/>
          <w:bCs/>
          <w:sz w:val="44"/>
          <w:szCs w:val="44"/>
        </w:rPr>
      </w:pPr>
    </w:p>
    <w:p>
      <w:pPr>
        <w:pStyle w:val="6"/>
      </w:pPr>
    </w:p>
    <w:p>
      <w:pPr>
        <w:pStyle w:val="6"/>
      </w:pPr>
    </w:p>
    <w:p>
      <w:pPr>
        <w:pStyle w:val="6"/>
      </w:pPr>
    </w:p>
    <w:p>
      <w:pPr>
        <w:spacing w:line="240" w:lineRule="atLeast"/>
        <w:ind w:firstLine="360" w:firstLineChars="100"/>
        <w:rPr>
          <w:rFonts w:ascii="宋体" w:hAnsi="宋体" w:eastAsia="宋体" w:cs="宋体"/>
          <w:sz w:val="36"/>
        </w:rPr>
      </w:pPr>
    </w:p>
    <w:p>
      <w:pPr>
        <w:spacing w:line="240" w:lineRule="atLeast"/>
        <w:rPr>
          <w:rFonts w:ascii="宋体" w:hAnsi="宋体" w:eastAsia="宋体" w:cs="宋体"/>
          <w:sz w:val="28"/>
          <w:szCs w:val="28"/>
        </w:rPr>
      </w:pPr>
      <w:r>
        <w:rPr>
          <w:rFonts w:hint="eastAsia" w:ascii="宋体" w:hAnsi="宋体" w:eastAsia="宋体" w:cs="宋体"/>
          <w:sz w:val="28"/>
          <w:szCs w:val="28"/>
        </w:rPr>
        <w:t>绩效评价类型：实施过程评价</w:t>
      </w:r>
      <w:r>
        <w:rPr>
          <w:rFonts w:hint="eastAsia" w:ascii="宋体" w:hAnsi="宋体" w:eastAsia="宋体" w:cs="宋体"/>
          <w:sz w:val="28"/>
          <w:szCs w:val="28"/>
        </w:rPr>
        <w:sym w:font="Wingdings" w:char="00A8"/>
      </w:r>
      <w:r>
        <w:rPr>
          <w:rFonts w:hint="eastAsia" w:ascii="宋体" w:hAnsi="宋体" w:eastAsia="宋体" w:cs="宋体"/>
          <w:sz w:val="28"/>
          <w:szCs w:val="28"/>
        </w:rPr>
        <w:t xml:space="preserve">    完成结果评价</w:t>
      </w:r>
      <w:r>
        <w:rPr>
          <w:rFonts w:hint="eastAsia" w:ascii="宋体" w:hAnsi="宋体" w:eastAsia="宋体" w:cs="宋体"/>
          <w:sz w:val="28"/>
          <w:szCs w:val="28"/>
        </w:rPr>
        <w:sym w:font="Wingdings" w:char="00FE"/>
      </w:r>
      <w:r>
        <w:rPr>
          <w:rFonts w:hint="eastAsia" w:ascii="宋体" w:hAnsi="宋体" w:eastAsia="宋体" w:cs="宋体"/>
          <w:sz w:val="28"/>
          <w:szCs w:val="28"/>
        </w:rPr>
        <w:t xml:space="preserve"> </w:t>
      </w:r>
    </w:p>
    <w:p>
      <w:pPr>
        <w:rPr>
          <w:sz w:val="28"/>
          <w:szCs w:val="28"/>
        </w:rPr>
      </w:pPr>
    </w:p>
    <w:p>
      <w:pPr>
        <w:spacing w:line="360" w:lineRule="auto"/>
        <w:rPr>
          <w:rFonts w:ascii="宋体" w:hAnsi="宋体" w:eastAsia="宋体" w:cs="宋体"/>
          <w:sz w:val="28"/>
          <w:szCs w:val="28"/>
          <w:u w:val="single"/>
        </w:rPr>
      </w:pPr>
      <w:r>
        <w:rPr>
          <w:rFonts w:hint="eastAsia" w:ascii="宋体" w:hAnsi="宋体" w:eastAsia="宋体" w:cs="宋体"/>
          <w:sz w:val="28"/>
          <w:szCs w:val="28"/>
        </w:rPr>
        <w:t>绩效评价名称：</w:t>
      </w:r>
      <w:r>
        <w:rPr>
          <w:rFonts w:hint="eastAsia" w:ascii="宋体" w:hAnsi="宋体" w:eastAsia="宋体" w:cs="宋体"/>
          <w:sz w:val="28"/>
          <w:szCs w:val="28"/>
          <w:u w:val="single"/>
          <w:lang w:eastAsia="zh-CN"/>
        </w:rPr>
        <w:t>中国共产主义青年团浏阳市委员会</w:t>
      </w:r>
      <w:r>
        <w:rPr>
          <w:rFonts w:hint="eastAsia" w:ascii="宋体" w:hAnsi="宋体" w:eastAsia="宋体" w:cs="宋体"/>
          <w:sz w:val="28"/>
          <w:szCs w:val="28"/>
          <w:u w:val="single"/>
        </w:rPr>
        <w:t xml:space="preserve">2022年部门整体支出绩效自评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p>
    <w:p>
      <w:pPr>
        <w:spacing w:after="120" w:line="360" w:lineRule="auto"/>
        <w:rPr>
          <w:rFonts w:ascii="宋体" w:hAnsi="宋体" w:eastAsia="宋体" w:cs="宋体"/>
          <w:sz w:val="28"/>
          <w:szCs w:val="28"/>
          <w:u w:val="single"/>
        </w:rPr>
      </w:pPr>
      <w:r>
        <w:rPr>
          <w:rFonts w:hint="eastAsia" w:ascii="宋体" w:hAnsi="宋体" w:eastAsia="宋体" w:cs="宋体"/>
          <w:sz w:val="28"/>
          <w:szCs w:val="28"/>
        </w:rPr>
        <w:t>绩效评价金额：</w:t>
      </w:r>
      <w:r>
        <w:rPr>
          <w:rFonts w:hint="eastAsia" w:ascii="宋体" w:hAnsi="宋体" w:eastAsia="宋体" w:cs="宋体"/>
          <w:sz w:val="28"/>
          <w:szCs w:val="28"/>
          <w:u w:val="single"/>
        </w:rPr>
        <w:t>2022年部门整体支出</w:t>
      </w:r>
      <w:r>
        <w:rPr>
          <w:rFonts w:hint="eastAsia" w:ascii="宋体" w:hAnsi="宋体" w:eastAsia="宋体" w:cs="宋体"/>
          <w:sz w:val="28"/>
          <w:szCs w:val="28"/>
          <w:u w:val="single"/>
          <w:lang w:val="en-US" w:eastAsia="zh-CN"/>
        </w:rPr>
        <w:t>266.05</w:t>
      </w:r>
      <w:r>
        <w:rPr>
          <w:rFonts w:hint="eastAsia" w:ascii="宋体" w:hAnsi="宋体" w:eastAsia="宋体" w:cs="宋体"/>
          <w:sz w:val="28"/>
          <w:szCs w:val="28"/>
          <w:u w:val="single"/>
        </w:rPr>
        <w:t xml:space="preserve">万元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p>
    <w:p>
      <w:pPr>
        <w:spacing w:after="120" w:line="360" w:lineRule="auto"/>
        <w:rPr>
          <w:rFonts w:ascii="宋体" w:hAnsi="宋体" w:eastAsia="宋体" w:cs="宋体"/>
          <w:sz w:val="28"/>
          <w:szCs w:val="28"/>
          <w:u w:val="single"/>
        </w:rPr>
      </w:pPr>
      <w:r>
        <w:rPr>
          <w:rFonts w:hint="eastAsia" w:ascii="宋体" w:hAnsi="宋体" w:eastAsia="宋体" w:cs="宋体"/>
          <w:sz w:val="28"/>
          <w:szCs w:val="28"/>
        </w:rPr>
        <w:t>绩效评价单位：</w:t>
      </w:r>
      <w:r>
        <w:rPr>
          <w:rFonts w:hint="eastAsia" w:ascii="宋体" w:hAnsi="宋体" w:eastAsia="宋体" w:cs="宋体"/>
          <w:sz w:val="28"/>
          <w:szCs w:val="28"/>
          <w:u w:val="single"/>
          <w:lang w:eastAsia="zh-CN"/>
        </w:rPr>
        <w:t>中国共产主义青年团浏阳市委员会</w:t>
      </w:r>
      <w:r>
        <w:rPr>
          <w:rFonts w:hint="eastAsia" w:ascii="宋体" w:hAnsi="宋体" w:eastAsia="宋体" w:cs="宋体"/>
          <w:sz w:val="28"/>
          <w:szCs w:val="28"/>
          <w:u w:val="single"/>
        </w:rPr>
        <w:t xml:space="preserve">                     </w:t>
      </w:r>
    </w:p>
    <w:p>
      <w:pPr>
        <w:pStyle w:val="6"/>
        <w:spacing w:line="360" w:lineRule="auto"/>
        <w:rPr>
          <w:rFonts w:ascii="宋体" w:hAnsi="宋体" w:eastAsia="宋体" w:cs="宋体"/>
          <w:sz w:val="28"/>
          <w:szCs w:val="28"/>
          <w:u w:val="single"/>
        </w:rPr>
      </w:pPr>
      <w:r>
        <w:rPr>
          <w:rFonts w:hint="eastAsia" w:ascii="宋体" w:hAnsi="宋体" w:eastAsia="宋体" w:cs="宋体"/>
          <w:sz w:val="28"/>
          <w:szCs w:val="28"/>
        </w:rPr>
        <w:t>实施机构名称：</w:t>
      </w:r>
      <w:r>
        <w:rPr>
          <w:rFonts w:hint="eastAsia" w:ascii="宋体" w:hAnsi="宋体" w:eastAsia="宋体" w:cs="宋体"/>
          <w:sz w:val="28"/>
          <w:szCs w:val="28"/>
          <w:u w:val="single"/>
          <w:lang w:eastAsia="zh-CN"/>
        </w:rPr>
        <w:t>中国共产主义青年团浏阳市委员会</w:t>
      </w:r>
      <w:r>
        <w:rPr>
          <w:rFonts w:hint="eastAsia" w:ascii="宋体" w:hAnsi="宋体" w:eastAsia="宋体" w:cs="宋体"/>
          <w:sz w:val="28"/>
          <w:szCs w:val="28"/>
          <w:u w:val="single"/>
        </w:rPr>
        <w:t xml:space="preserve">                     </w:t>
      </w:r>
    </w:p>
    <w:p>
      <w:pPr>
        <w:rPr>
          <w:sz w:val="28"/>
          <w:szCs w:val="28"/>
        </w:rPr>
      </w:pPr>
    </w:p>
    <w:p>
      <w:pPr>
        <w:pStyle w:val="6"/>
      </w:pPr>
    </w:p>
    <w:p>
      <w:pPr>
        <w:pStyle w:val="6"/>
      </w:pPr>
    </w:p>
    <w:p/>
    <w:p>
      <w:pPr>
        <w:jc w:val="center"/>
        <w:outlineLvl w:val="0"/>
        <w:rPr>
          <w:rFonts w:ascii="Times New Roman" w:hAnsi="Calibri" w:eastAsia="仿宋_GB2312" w:cs="Times New Roman"/>
          <w:b/>
          <w:sz w:val="44"/>
          <w:szCs w:val="44"/>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仿宋_GB2312" w:eastAsia="仿宋_GB2312"/>
          <w:b/>
          <w:szCs w:val="32"/>
        </w:rPr>
        <w:t>报告日期</w:t>
      </w:r>
      <w:r>
        <w:rPr>
          <w:rFonts w:hint="eastAsia" w:ascii="仿宋_GB2312" w:eastAsia="仿宋_GB2312"/>
          <w:szCs w:val="32"/>
        </w:rPr>
        <w:t>：</w:t>
      </w:r>
      <w:r>
        <w:rPr>
          <w:rFonts w:hint="eastAsia" w:ascii="仿宋_GB2312" w:eastAsia="仿宋_GB2312"/>
          <w:bCs/>
          <w:szCs w:val="32"/>
        </w:rPr>
        <w:t>202</w:t>
      </w:r>
      <w:r>
        <w:rPr>
          <w:rFonts w:hint="eastAsia" w:ascii="仿宋_GB2312" w:eastAsia="仿宋_GB2312"/>
          <w:bCs/>
          <w:szCs w:val="32"/>
          <w:lang w:val="en-US" w:eastAsia="zh-CN"/>
        </w:rPr>
        <w:t>3</w:t>
      </w:r>
      <w:r>
        <w:rPr>
          <w:rFonts w:hint="eastAsia" w:ascii="仿宋_GB2312" w:eastAsia="仿宋_GB2312"/>
          <w:bCs/>
          <w:szCs w:val="32"/>
        </w:rPr>
        <w:t>年</w:t>
      </w:r>
      <w:r>
        <w:rPr>
          <w:rFonts w:hint="eastAsia" w:ascii="仿宋_GB2312" w:eastAsia="仿宋_GB2312"/>
          <w:bCs/>
          <w:szCs w:val="32"/>
          <w:lang w:val="en-US" w:eastAsia="zh-CN"/>
        </w:rPr>
        <w:t>9</w:t>
      </w:r>
      <w:r>
        <w:rPr>
          <w:rFonts w:hint="eastAsia" w:ascii="仿宋_GB2312" w:eastAsia="仿宋_GB2312"/>
          <w:bCs/>
          <w:szCs w:val="32"/>
        </w:rPr>
        <w:t>月</w:t>
      </w:r>
      <w:r>
        <w:rPr>
          <w:rFonts w:hint="eastAsia" w:ascii="仿宋_GB2312" w:eastAsia="仿宋_GB2312"/>
          <w:bCs/>
          <w:szCs w:val="32"/>
          <w:lang w:val="en-US" w:eastAsia="zh-CN"/>
        </w:rPr>
        <w:t>2</w:t>
      </w:r>
      <w:r>
        <w:rPr>
          <w:rFonts w:hint="eastAsia" w:ascii="仿宋_GB2312" w:eastAsia="仿宋_GB2312"/>
          <w:bCs/>
          <w:szCs w:val="32"/>
        </w:rPr>
        <w:t>6日</w:t>
      </w:r>
    </w:p>
    <w:p>
      <w:pPr>
        <w:spacing w:line="700" w:lineRule="exact"/>
        <w:jc w:val="center"/>
        <w:outlineLvl w:val="0"/>
        <w:rPr>
          <w:rFonts w:hint="eastAsia" w:cs="Times New Roman" w:asciiTheme="majorEastAsia" w:hAnsiTheme="majorEastAsia" w:eastAsiaTheme="majorEastAsia"/>
          <w:b/>
          <w:sz w:val="44"/>
          <w:szCs w:val="44"/>
          <w:lang w:eastAsia="zh-CN"/>
        </w:rPr>
      </w:pPr>
      <w:r>
        <w:rPr>
          <w:rFonts w:hint="eastAsia" w:cs="Times New Roman" w:asciiTheme="majorEastAsia" w:hAnsiTheme="majorEastAsia" w:eastAsiaTheme="majorEastAsia"/>
          <w:b/>
          <w:sz w:val="44"/>
          <w:szCs w:val="44"/>
          <w:lang w:eastAsia="zh-CN"/>
        </w:rPr>
        <w:t>中国共产主义青年团浏阳市委员会</w:t>
      </w:r>
    </w:p>
    <w:p>
      <w:pPr>
        <w:spacing w:line="700" w:lineRule="exact"/>
        <w:jc w:val="center"/>
        <w:outlineLvl w:val="0"/>
        <w:rPr>
          <w:rFonts w:cs="Times New Roman" w:asciiTheme="majorEastAsia" w:hAnsiTheme="majorEastAsia" w:eastAsiaTheme="majorEastAsia"/>
          <w:b/>
          <w:sz w:val="44"/>
          <w:szCs w:val="44"/>
        </w:rPr>
      </w:pPr>
      <w:r>
        <w:rPr>
          <w:rFonts w:hint="eastAsia" w:cs="Times New Roman" w:asciiTheme="majorEastAsia" w:hAnsiTheme="majorEastAsia" w:eastAsiaTheme="majorEastAsia"/>
          <w:b/>
          <w:sz w:val="44"/>
          <w:szCs w:val="44"/>
        </w:rPr>
        <w:t>2022年部门整体支出绩效自评报告</w:t>
      </w:r>
    </w:p>
    <w:p>
      <w:pPr>
        <w:spacing w:line="560" w:lineRule="exact"/>
        <w:rPr>
          <w:rFonts w:ascii="Times New Roman" w:hAnsi="Times New Roman" w:eastAsia="仿宋_GB2312" w:cs="Times New Roman"/>
          <w:szCs w:val="32"/>
        </w:rPr>
      </w:pPr>
    </w:p>
    <w:p>
      <w:pPr>
        <w:spacing w:line="560" w:lineRule="exact"/>
        <w:ind w:firstLine="640" w:firstLineChars="200"/>
        <w:outlineLvl w:val="2"/>
        <w:rPr>
          <w:rFonts w:ascii="Times New Roman" w:hAnsi="Times New Roman" w:eastAsia="仿宋_GB2312" w:cs="Times New Roman"/>
          <w:szCs w:val="32"/>
        </w:rPr>
      </w:pPr>
      <w:r>
        <w:rPr>
          <w:rFonts w:hint="eastAsia" w:ascii="Times New Roman" w:hAnsi="Times New Roman" w:eastAsia="仿宋_GB2312" w:cs="Times New Roman"/>
          <w:szCs w:val="32"/>
        </w:rPr>
        <w:t>为加强财政支出管理，提高财政资金使用效益，根据《中共湖南省委办公厅 湖南省人民政府办公厅关于全面实施预算绩效管理的实施意见》（湘办发〔2019〕10号）以及《长沙市财政局关于开展 2022 年市直预算单位绩效自评工作的通知》（长财绩〔2023〕2号)</w:t>
      </w:r>
      <w:r>
        <w:rPr>
          <w:rFonts w:hint="eastAsia" w:ascii="Times New Roman" w:hAnsi="Times New Roman" w:eastAsia="仿宋_GB2312" w:cs="Times New Roman"/>
          <w:sz w:val="32"/>
          <w:szCs w:val="32"/>
          <w:highlight w:val="none"/>
          <w:lang w:val="en-US" w:eastAsia="zh-CN"/>
        </w:rPr>
        <w:t>、《浏阳市财政局关于开展2022年度部门整体支出绩效评价和2023年度绩效监控工作的函》（浏财函〔2023〕22号）</w:t>
      </w:r>
      <w:r>
        <w:rPr>
          <w:rFonts w:hint="eastAsia" w:ascii="Times New Roman" w:hAnsi="Times New Roman" w:eastAsia="仿宋_GB2312" w:cs="Times New Roman"/>
          <w:szCs w:val="32"/>
        </w:rPr>
        <w:t>等文件精神，</w:t>
      </w:r>
      <w:r>
        <w:rPr>
          <w:rFonts w:hint="eastAsia" w:ascii="Times New Roman" w:hAnsi="Times New Roman" w:eastAsia="仿宋_GB2312" w:cs="Times New Roman"/>
          <w:szCs w:val="32"/>
          <w:lang w:eastAsia="zh-CN"/>
        </w:rPr>
        <w:t>中国共产主义青年团浏阳市委员会</w:t>
      </w:r>
      <w:r>
        <w:rPr>
          <w:rFonts w:hint="eastAsia" w:ascii="Times New Roman" w:hAnsi="Times New Roman" w:eastAsia="仿宋_GB2312" w:cs="Times New Roman"/>
          <w:szCs w:val="32"/>
        </w:rPr>
        <w:t>（以下简称“</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”）制定了绩效评价工作方案及成立了绩效自评工作小组（以下简称“评价小组”），于202</w:t>
      </w:r>
      <w:r>
        <w:rPr>
          <w:rFonts w:hint="eastAsia" w:ascii="Times New Roman" w:hAnsi="Times New Roman" w:eastAsia="仿宋_GB2312" w:cs="Times New Roman"/>
          <w:szCs w:val="32"/>
          <w:lang w:val="en-US" w:eastAsia="zh-CN"/>
        </w:rPr>
        <w:t>3</w:t>
      </w:r>
      <w:r>
        <w:rPr>
          <w:rFonts w:hint="eastAsia" w:ascii="Times New Roman" w:hAnsi="Times New Roman" w:eastAsia="仿宋_GB2312" w:cs="Times New Roman"/>
          <w:szCs w:val="32"/>
        </w:rPr>
        <w:t>年</w:t>
      </w:r>
      <w:r>
        <w:rPr>
          <w:rFonts w:hint="eastAsia" w:ascii="Times New Roman" w:hAnsi="Times New Roman" w:eastAsia="仿宋_GB2312" w:cs="Times New Roman"/>
          <w:szCs w:val="32"/>
          <w:lang w:val="en-US" w:eastAsia="zh-CN"/>
        </w:rPr>
        <w:t>9</w:t>
      </w:r>
      <w:r>
        <w:rPr>
          <w:rFonts w:hint="eastAsia" w:ascii="Times New Roman" w:hAnsi="Times New Roman" w:eastAsia="仿宋_GB2312" w:cs="Times New Roman"/>
          <w:szCs w:val="32"/>
        </w:rPr>
        <w:t>月</w:t>
      </w:r>
      <w:r>
        <w:rPr>
          <w:rFonts w:hint="eastAsia" w:ascii="Times New Roman" w:hAnsi="Times New Roman" w:eastAsia="仿宋_GB2312" w:cs="Times New Roman"/>
          <w:szCs w:val="32"/>
          <w:lang w:val="en-US" w:eastAsia="zh-CN"/>
        </w:rPr>
        <w:t>11</w:t>
      </w:r>
      <w:r>
        <w:rPr>
          <w:rFonts w:hint="eastAsia" w:ascii="Times New Roman" w:hAnsi="Times New Roman" w:eastAsia="仿宋_GB2312" w:cs="Times New Roman"/>
          <w:szCs w:val="32"/>
        </w:rPr>
        <w:t>日-</w:t>
      </w:r>
      <w:r>
        <w:rPr>
          <w:rFonts w:hint="eastAsia" w:ascii="Times New Roman" w:hAnsi="Times New Roman" w:eastAsia="仿宋_GB2312" w:cs="Times New Roman"/>
          <w:szCs w:val="32"/>
          <w:lang w:val="en-US" w:eastAsia="zh-CN"/>
        </w:rPr>
        <w:t>9</w:t>
      </w:r>
      <w:r>
        <w:rPr>
          <w:rFonts w:hint="eastAsia" w:ascii="Times New Roman" w:hAnsi="Times New Roman" w:eastAsia="仿宋_GB2312" w:cs="Times New Roman"/>
          <w:szCs w:val="32"/>
        </w:rPr>
        <w:t>月</w:t>
      </w:r>
      <w:r>
        <w:rPr>
          <w:rFonts w:hint="eastAsia" w:ascii="Times New Roman" w:hAnsi="Times New Roman" w:eastAsia="仿宋_GB2312" w:cs="Times New Roman"/>
          <w:szCs w:val="32"/>
          <w:lang w:val="en-US" w:eastAsia="zh-CN"/>
        </w:rPr>
        <w:t>24</w:t>
      </w:r>
      <w:r>
        <w:rPr>
          <w:rFonts w:hint="eastAsia" w:ascii="Times New Roman" w:hAnsi="Times New Roman" w:eastAsia="仿宋_GB2312" w:cs="Times New Roman"/>
          <w:szCs w:val="32"/>
        </w:rPr>
        <w:t>日对</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2022部门整体支出情况开展了绩效自评工作，评价小组在实施必要的评价程序基础上，对</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的组织管理情况、</w:t>
      </w:r>
      <w:r>
        <w:rPr>
          <w:rFonts w:hint="eastAsia" w:ascii="Times New Roman" w:hAnsi="Times New Roman" w:eastAsia="仿宋_GB2312" w:cs="Times New Roman"/>
          <w:szCs w:val="32"/>
          <w:lang w:val="en-US" w:eastAsia="zh-CN"/>
        </w:rPr>
        <w:t>项目</w:t>
      </w:r>
      <w:r>
        <w:rPr>
          <w:rFonts w:hint="eastAsia" w:ascii="Times New Roman" w:hAnsi="Times New Roman" w:eastAsia="仿宋_GB2312" w:cs="Times New Roman"/>
          <w:szCs w:val="32"/>
        </w:rPr>
        <w:t>资金使用和管理情况、绩效情况提出意见和建议。现将有关情况报告如下：</w:t>
      </w:r>
    </w:p>
    <w:p>
      <w:pPr>
        <w:numPr>
          <w:ilvl w:val="255"/>
          <w:numId w:val="0"/>
        </w:numPr>
        <w:spacing w:before="144" w:beforeLines="25" w:line="560" w:lineRule="exact"/>
        <w:ind w:firstLine="643" w:firstLineChars="200"/>
        <w:outlineLvl w:val="0"/>
        <w:rPr>
          <w:rFonts w:ascii="楷体" w:hAnsi="楷体" w:eastAsia="楷体" w:cs="楷体"/>
          <w:b/>
          <w:bCs/>
          <w:szCs w:val="32"/>
        </w:rPr>
      </w:pPr>
      <w:r>
        <w:rPr>
          <w:rFonts w:hint="eastAsia" w:ascii="楷体" w:hAnsi="楷体" w:eastAsia="楷体" w:cs="楷体"/>
          <w:b/>
          <w:bCs/>
          <w:szCs w:val="32"/>
        </w:rPr>
        <w:t>一、部门概述</w:t>
      </w:r>
    </w:p>
    <w:p>
      <w:pPr>
        <w:numPr>
          <w:ilvl w:val="255"/>
          <w:numId w:val="0"/>
        </w:num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rPr>
        <w:t>（一）部门职能概述</w:t>
      </w:r>
    </w:p>
    <w:p>
      <w:pPr>
        <w:numPr>
          <w:ilvl w:val="255"/>
          <w:numId w:val="0"/>
        </w:numPr>
        <w:spacing w:line="560" w:lineRule="exact"/>
        <w:ind w:firstLine="640" w:firstLineChars="200"/>
        <w:outlineLvl w:val="1"/>
        <w:rPr>
          <w:rFonts w:hint="eastAsia" w:ascii="Times New Roman" w:hAnsi="Times New Roman" w:eastAsia="仿宋_GB2312" w:cs="Times New Roman"/>
          <w:szCs w:val="32"/>
        </w:rPr>
      </w:pPr>
      <w:r>
        <w:rPr>
          <w:rFonts w:hint="eastAsia" w:ascii="Times New Roman" w:hAnsi="Times New Roman" w:eastAsia="仿宋_GB2312" w:cs="Times New Roman"/>
          <w:szCs w:val="32"/>
        </w:rPr>
        <w:t>1、引导青年、组织青年、服务青年，维护青少年合法权益。</w:t>
      </w:r>
    </w:p>
    <w:p>
      <w:pPr>
        <w:numPr>
          <w:ilvl w:val="255"/>
          <w:numId w:val="0"/>
        </w:numPr>
        <w:spacing w:line="560" w:lineRule="exact"/>
        <w:ind w:firstLine="640" w:firstLineChars="200"/>
        <w:outlineLvl w:val="1"/>
        <w:rPr>
          <w:rFonts w:hint="eastAsia" w:ascii="Times New Roman" w:hAnsi="Times New Roman" w:eastAsia="仿宋_GB2312" w:cs="Times New Roman"/>
          <w:szCs w:val="32"/>
        </w:rPr>
      </w:pPr>
      <w:r>
        <w:rPr>
          <w:rFonts w:hint="eastAsia" w:ascii="Times New Roman" w:hAnsi="Times New Roman" w:eastAsia="仿宋_GB2312" w:cs="Times New Roman"/>
          <w:szCs w:val="32"/>
        </w:rPr>
        <w:t>2、负责组织实施青年主题活动、预防青少年违法犯罪、青年就业创业、青年志愿服务、希望工程、学雷锋活动等。</w:t>
      </w:r>
    </w:p>
    <w:p>
      <w:pPr>
        <w:numPr>
          <w:ilvl w:val="255"/>
          <w:numId w:val="0"/>
        </w:numPr>
        <w:spacing w:line="560" w:lineRule="exact"/>
        <w:ind w:firstLine="640" w:firstLineChars="200"/>
        <w:outlineLvl w:val="1"/>
        <w:rPr>
          <w:rFonts w:hint="eastAsia" w:ascii="Times New Roman" w:hAnsi="Times New Roman" w:eastAsia="仿宋_GB2312" w:cs="Times New Roman"/>
          <w:szCs w:val="32"/>
        </w:rPr>
      </w:pPr>
      <w:r>
        <w:rPr>
          <w:rFonts w:hint="eastAsia" w:ascii="Times New Roman" w:hAnsi="Times New Roman" w:eastAsia="仿宋_GB2312" w:cs="Times New Roman"/>
          <w:szCs w:val="32"/>
        </w:rPr>
        <w:t>3、在后勤保障上，由于财政部门对团市委工作的关心支持，为青年工作提供了强有力的保障，所以各项工作开展顺利。</w:t>
      </w:r>
    </w:p>
    <w:p>
      <w:pPr>
        <w:numPr>
          <w:ilvl w:val="255"/>
          <w:numId w:val="0"/>
        </w:num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rPr>
        <w:t>（二）部门组织机构及人员情况</w:t>
      </w:r>
    </w:p>
    <w:p>
      <w:pPr>
        <w:numPr>
          <w:ilvl w:val="255"/>
          <w:numId w:val="0"/>
        </w:numPr>
        <w:spacing w:line="560" w:lineRule="exact"/>
        <w:ind w:firstLine="643" w:firstLineChars="200"/>
        <w:outlineLvl w:val="2"/>
        <w:rPr>
          <w:rFonts w:ascii="楷体" w:hAnsi="楷体" w:eastAsia="楷体" w:cs="楷体"/>
          <w:b/>
          <w:bCs/>
          <w:szCs w:val="32"/>
        </w:rPr>
      </w:pPr>
      <w:r>
        <w:rPr>
          <w:rFonts w:hint="eastAsia" w:ascii="楷体" w:hAnsi="楷体" w:eastAsia="楷体" w:cs="楷体"/>
          <w:b/>
          <w:bCs/>
          <w:szCs w:val="32"/>
        </w:rPr>
        <w:t>1、部门组织机构情况</w:t>
      </w:r>
    </w:p>
    <w:p>
      <w:pPr>
        <w:numPr>
          <w:ilvl w:val="255"/>
          <w:numId w:val="0"/>
        </w:numPr>
        <w:spacing w:line="560" w:lineRule="exact"/>
        <w:ind w:firstLine="640" w:firstLineChars="200"/>
        <w:outlineLvl w:val="1"/>
        <w:rPr>
          <w:rFonts w:hint="eastAsia" w:eastAsia="仿宋"/>
          <w:lang w:val="en-US" w:eastAsia="zh-CN"/>
        </w:rPr>
      </w:pPr>
      <w:r>
        <w:rPr>
          <w:rFonts w:hint="eastAsia" w:ascii="Times New Roman" w:hAnsi="Times New Roman" w:eastAsia="仿宋_GB2312" w:cs="Times New Roman"/>
          <w:szCs w:val="32"/>
          <w:lang w:eastAsia="zh-CN"/>
        </w:rPr>
        <w:t>中国共产主义青年团浏阳市委员会</w:t>
      </w:r>
      <w:r>
        <w:rPr>
          <w:rFonts w:hint="eastAsia" w:ascii="Times New Roman" w:hAnsi="Times New Roman" w:eastAsia="仿宋_GB2312" w:cs="Times New Roman"/>
          <w:szCs w:val="32"/>
        </w:rPr>
        <w:t>内设机构包括：办公室、青年发展部、宣传和网络工作部</w:t>
      </w:r>
      <w:r>
        <w:rPr>
          <w:rFonts w:hint="eastAsia"/>
          <w:lang w:eastAsia="zh-CN"/>
        </w:rPr>
        <w:t>。</w:t>
      </w:r>
    </w:p>
    <w:p>
      <w:pPr>
        <w:numPr>
          <w:ilvl w:val="255"/>
          <w:numId w:val="0"/>
        </w:numPr>
        <w:spacing w:line="560" w:lineRule="exact"/>
        <w:ind w:firstLine="643" w:firstLineChars="200"/>
        <w:outlineLvl w:val="2"/>
        <w:rPr>
          <w:rFonts w:ascii="楷体" w:hAnsi="楷体" w:eastAsia="楷体" w:cs="楷体"/>
          <w:b/>
          <w:bCs/>
          <w:szCs w:val="32"/>
        </w:rPr>
      </w:pPr>
      <w:r>
        <w:rPr>
          <w:rFonts w:hint="eastAsia" w:ascii="楷体" w:hAnsi="楷体" w:eastAsia="楷体" w:cs="楷体"/>
          <w:b/>
          <w:bCs/>
          <w:szCs w:val="32"/>
        </w:rPr>
        <w:t>2、部门人员情况</w:t>
      </w:r>
    </w:p>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left="0" w:leftChars="0" w:firstLine="640" w:firstLineChars="200"/>
        <w:textAlignment w:val="auto"/>
        <w:outlineLvl w:val="1"/>
        <w:rPr>
          <w:rFonts w:hint="default" w:ascii="Times New Roman" w:hAnsi="Times New Roman" w:eastAsia="仿宋_GB2312" w:cs="Times New Roman"/>
          <w:szCs w:val="32"/>
          <w:lang w:val="en-US" w:eastAsia="zh-CN"/>
        </w:rPr>
      </w:pPr>
      <w:r>
        <w:rPr>
          <w:rFonts w:hint="eastAsia" w:ascii="Times New Roman" w:hAnsi="Times New Roman" w:eastAsia="仿宋_GB2312" w:cs="Times New Roman"/>
          <w:szCs w:val="32"/>
        </w:rPr>
        <w:t>2022年</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年末实有人数</w:t>
      </w:r>
      <w:r>
        <w:rPr>
          <w:rFonts w:hint="eastAsia" w:ascii="Times New Roman" w:hAnsi="Times New Roman" w:eastAsia="仿宋_GB2312" w:cs="Times New Roman"/>
          <w:szCs w:val="32"/>
          <w:lang w:val="en-US" w:eastAsia="zh-CN"/>
        </w:rPr>
        <w:t>8</w:t>
      </w:r>
      <w:r>
        <w:rPr>
          <w:rFonts w:hint="eastAsia" w:ascii="Times New Roman" w:hAnsi="Times New Roman" w:eastAsia="仿宋_GB2312" w:cs="Times New Roman"/>
          <w:szCs w:val="32"/>
        </w:rPr>
        <w:t>人，</w:t>
      </w:r>
      <w:r>
        <w:rPr>
          <w:rFonts w:hint="eastAsia" w:ascii="Times New Roman" w:hAnsi="Times New Roman" w:eastAsia="仿宋_GB2312" w:cs="Times New Roman"/>
          <w:szCs w:val="32"/>
          <w:lang w:val="en-US" w:eastAsia="zh-CN"/>
        </w:rPr>
        <w:t>和</w:t>
      </w:r>
      <w:r>
        <w:rPr>
          <w:rFonts w:hint="eastAsia" w:ascii="Times New Roman" w:hAnsi="Times New Roman" w:eastAsia="仿宋_GB2312" w:cs="Times New Roman"/>
          <w:szCs w:val="32"/>
        </w:rPr>
        <w:t>上年</w:t>
      </w:r>
      <w:r>
        <w:rPr>
          <w:rFonts w:hint="eastAsia" w:ascii="Times New Roman" w:hAnsi="Times New Roman" w:eastAsia="仿宋_GB2312" w:cs="Times New Roman"/>
          <w:szCs w:val="32"/>
          <w:lang w:val="en-US" w:eastAsia="zh-CN"/>
        </w:rPr>
        <w:t>比无</w:t>
      </w:r>
      <w:r>
        <w:rPr>
          <w:rFonts w:hint="eastAsia" w:ascii="Times New Roman" w:hAnsi="Times New Roman" w:eastAsia="仿宋_GB2312" w:cs="Times New Roman"/>
          <w:szCs w:val="32"/>
        </w:rPr>
        <w:t>人员</w:t>
      </w:r>
      <w:r>
        <w:rPr>
          <w:rFonts w:hint="eastAsia" w:ascii="Times New Roman" w:hAnsi="Times New Roman" w:eastAsia="仿宋_GB2312" w:cs="Times New Roman"/>
          <w:szCs w:val="32"/>
          <w:lang w:val="en-US" w:eastAsia="zh-CN"/>
        </w:rPr>
        <w:t>变动</w:t>
      </w:r>
      <w:r>
        <w:rPr>
          <w:rFonts w:hint="eastAsia" w:ascii="Times New Roman" w:hAnsi="Times New Roman" w:eastAsia="仿宋_GB2312" w:cs="Times New Roman"/>
          <w:szCs w:val="32"/>
        </w:rPr>
        <w:t>。</w:t>
      </w:r>
    </w:p>
    <w:p>
      <w:pPr>
        <w:numPr>
          <w:ilvl w:val="255"/>
          <w:numId w:val="0"/>
        </w:numPr>
        <w:spacing w:line="560" w:lineRule="exact"/>
        <w:ind w:firstLine="643" w:firstLineChars="200"/>
        <w:outlineLvl w:val="1"/>
        <w:rPr>
          <w:rFonts w:hint="default" w:ascii="楷体" w:hAnsi="楷体" w:eastAsia="楷体" w:cs="楷体"/>
          <w:b/>
          <w:bCs/>
          <w:szCs w:val="32"/>
          <w:lang w:val="en-US" w:eastAsia="zh-CN"/>
        </w:rPr>
      </w:pPr>
      <w:r>
        <w:rPr>
          <w:rFonts w:hint="eastAsia" w:ascii="楷体" w:hAnsi="楷体" w:eastAsia="楷体" w:cs="楷体"/>
          <w:b/>
          <w:bCs/>
          <w:szCs w:val="32"/>
        </w:rPr>
        <w:t>（三）</w:t>
      </w:r>
      <w:r>
        <w:rPr>
          <w:rFonts w:hint="eastAsia" w:ascii="楷体" w:hAnsi="楷体" w:eastAsia="楷体" w:cs="楷体"/>
          <w:b/>
          <w:bCs/>
          <w:szCs w:val="32"/>
          <w:lang w:val="en-US" w:eastAsia="zh-CN"/>
        </w:rPr>
        <w:t>年度重点工作计划</w:t>
      </w:r>
    </w:p>
    <w:p>
      <w:pPr>
        <w:numPr>
          <w:ilvl w:val="255"/>
          <w:numId w:val="0"/>
        </w:numPr>
        <w:spacing w:line="560" w:lineRule="exact"/>
        <w:ind w:firstLine="643" w:firstLineChars="200"/>
        <w:outlineLvl w:val="1"/>
        <w:rPr>
          <w:rFonts w:hint="eastAsia" w:ascii="Times New Roman" w:hAnsi="Times New Roman" w:eastAsia="仿宋_GB2312" w:cs="Times New Roman"/>
          <w:color w:val="auto"/>
          <w:szCs w:val="32"/>
          <w:lang w:val="en-US" w:eastAsia="zh-CN"/>
        </w:rPr>
      </w:pPr>
      <w:r>
        <w:rPr>
          <w:rFonts w:hint="eastAsia" w:ascii="Times New Roman" w:hAnsi="Times New Roman" w:eastAsia="仿宋_GB2312" w:cs="Times New Roman"/>
          <w:b/>
          <w:bCs/>
          <w:color w:val="auto"/>
          <w:szCs w:val="32"/>
          <w:lang w:val="en-US" w:eastAsia="zh-CN"/>
        </w:rPr>
        <w:t>一是围绕一个主题，旗帜鲜明抓引领</w:t>
      </w:r>
      <w:r>
        <w:rPr>
          <w:rFonts w:hint="eastAsia" w:ascii="Times New Roman" w:hAnsi="Times New Roman" w:eastAsia="仿宋_GB2312" w:cs="Times New Roman"/>
          <w:color w:val="auto"/>
          <w:szCs w:val="32"/>
          <w:lang w:val="en-US" w:eastAsia="zh-CN"/>
        </w:rPr>
        <w:t>。紧紧围绕“建团百年 向党献礼”主题，广泛开展系列庆祝活动。发动全市共青团系统深入学习贯彻党的二十大精神和省、长沙市、浏阳市党代会精神，认真贯彻中央、省、市经济工作会议精神，突出抓好“青春心向党 喜迎二十大”学习教育。全面推进“青年大学习”行动，持续扩大线上学习覆盖率。依托浏阳红色资源，打造一批“精品团课”、选树一批“形象大使”、绘就一张 “红色地图”，让红色基因赓续传承。加强“网上共青团”建设，牢牢掌握青少年意识形态工作领导权。</w:t>
      </w:r>
    </w:p>
    <w:p>
      <w:pPr>
        <w:numPr>
          <w:ilvl w:val="255"/>
          <w:numId w:val="0"/>
        </w:numPr>
        <w:spacing w:line="560" w:lineRule="exact"/>
        <w:ind w:firstLine="643" w:firstLineChars="200"/>
        <w:outlineLvl w:val="1"/>
        <w:rPr>
          <w:rFonts w:hint="eastAsia" w:ascii="Times New Roman" w:hAnsi="Times New Roman" w:eastAsia="仿宋_GB2312" w:cs="Times New Roman"/>
          <w:color w:val="auto"/>
          <w:szCs w:val="32"/>
          <w:lang w:val="en-US" w:eastAsia="zh-CN"/>
        </w:rPr>
      </w:pPr>
      <w:r>
        <w:rPr>
          <w:rFonts w:hint="eastAsia" w:ascii="Times New Roman" w:hAnsi="Times New Roman" w:eastAsia="仿宋_GB2312" w:cs="Times New Roman"/>
          <w:b/>
          <w:bCs/>
          <w:color w:val="auto"/>
          <w:szCs w:val="32"/>
          <w:lang w:val="en-US" w:eastAsia="zh-CN"/>
        </w:rPr>
        <w:t>二是紧扣三个战略，建功大局促发展。</w:t>
      </w:r>
      <w:r>
        <w:rPr>
          <w:rFonts w:hint="eastAsia" w:ascii="Times New Roman" w:hAnsi="Times New Roman" w:eastAsia="仿宋_GB2312" w:cs="Times New Roman"/>
          <w:color w:val="auto"/>
          <w:szCs w:val="32"/>
          <w:lang w:val="en-US" w:eastAsia="zh-CN"/>
        </w:rPr>
        <w:t>引领青年积极投身“三高四新” “乡村振兴”“区域合作”三大战略。瞄准园区主阵地，打造“园区+青年之家+社团”的团属工作阵地，拓宽科企政对接渠道，大力培育“青工匠”、青年岗位能手、青年科创人才，全面激发青年科创活力。聚焦乡村大舞台，充分发挥由农技、金融、市场、法律等方面专家组成的农创服务队伍作用，依托农业创业者联合会探索“传帮带”模式，积极培育青年致富带头人，壮大农村青年领头雁队伍。面向区域大开放，重点在青年志愿服务等方面引领和推动湘赣边合作交流，积极引导公益性组织和志愿服务组织健康发展，助力打造“志愿之城”“大爱之城”，着力形成区域合作典范。围绕全市中心大局，主动服务产业项目建设、文旅融合发展、基层治理创新等重点工作，奋力在全面落实“三高四新”战略定位和使命任务，积极服务“强省会”战略，助力建设现代化新浏阳上作贡献、勇担当。</w:t>
      </w:r>
    </w:p>
    <w:p>
      <w:pPr>
        <w:numPr>
          <w:ilvl w:val="255"/>
          <w:numId w:val="0"/>
        </w:numPr>
        <w:spacing w:line="560" w:lineRule="exact"/>
        <w:ind w:firstLine="643" w:firstLineChars="200"/>
        <w:outlineLvl w:val="1"/>
        <w:rPr>
          <w:rFonts w:hint="eastAsia" w:ascii="Times New Roman" w:hAnsi="Times New Roman" w:eastAsia="仿宋_GB2312" w:cs="Times New Roman"/>
          <w:color w:val="auto"/>
          <w:szCs w:val="32"/>
          <w:lang w:val="en-US" w:eastAsia="zh-CN"/>
        </w:rPr>
      </w:pPr>
      <w:r>
        <w:rPr>
          <w:rFonts w:hint="eastAsia" w:ascii="Times New Roman" w:hAnsi="Times New Roman" w:eastAsia="仿宋_GB2312" w:cs="Times New Roman"/>
          <w:b/>
          <w:bCs/>
          <w:color w:val="auto"/>
          <w:szCs w:val="32"/>
          <w:lang w:val="en-US" w:eastAsia="zh-CN"/>
        </w:rPr>
        <w:t>三是聚焦三个重点，服务青年求实效。</w:t>
      </w:r>
      <w:r>
        <w:rPr>
          <w:rFonts w:hint="eastAsia" w:ascii="Times New Roman" w:hAnsi="Times New Roman" w:eastAsia="仿宋_GB2312" w:cs="Times New Roman"/>
          <w:color w:val="auto"/>
          <w:szCs w:val="32"/>
          <w:lang w:val="en-US" w:eastAsia="zh-CN"/>
        </w:rPr>
        <w:t>聚焦青年就业创业，继续深化“燕归巢”暑期社会实践活动、“青年人才驿站”等项目实施，加强青年双创项目、培训、资金等全链条服务。聚焦青年权益维护，纵深推进青心呵护“十百千万”工程，重点做好事实孤儿、涉事未成年人、未成年刑满释放人员等重点青年群体管控，整合公检法等各方力量，探索在信息互通、群体共管、成果共享上形成预青机制。聚焦青少年帮扶，推进“希望小屋”等项目，精准制定做好帮扶结对清单、青少年需求清单、服务满意度清单、资源链接清单，帮助解决青少年急难愁盼问题，不断提升青年获得感和幸福感。</w:t>
      </w:r>
    </w:p>
    <w:p>
      <w:pPr>
        <w:numPr>
          <w:ilvl w:val="255"/>
          <w:numId w:val="0"/>
        </w:numPr>
        <w:spacing w:line="560" w:lineRule="exact"/>
        <w:ind w:firstLine="643" w:firstLineChars="200"/>
        <w:outlineLvl w:val="1"/>
        <w:rPr>
          <w:rFonts w:hint="eastAsia" w:ascii="Times New Roman" w:hAnsi="Times New Roman" w:eastAsia="仿宋_GB2312" w:cs="Times New Roman"/>
          <w:color w:val="auto"/>
          <w:szCs w:val="32"/>
          <w:lang w:val="en-US" w:eastAsia="zh-CN"/>
        </w:rPr>
      </w:pPr>
      <w:r>
        <w:rPr>
          <w:rFonts w:hint="eastAsia" w:ascii="Times New Roman" w:hAnsi="Times New Roman" w:eastAsia="仿宋_GB2312" w:cs="Times New Roman"/>
          <w:b/>
          <w:bCs/>
          <w:color w:val="auto"/>
          <w:szCs w:val="32"/>
          <w:lang w:val="en-US" w:eastAsia="zh-CN"/>
        </w:rPr>
        <w:t>四是强化四个抓手，深化改革再出发。</w:t>
      </w:r>
      <w:r>
        <w:rPr>
          <w:rFonts w:hint="eastAsia" w:ascii="Times New Roman" w:hAnsi="Times New Roman" w:eastAsia="仿宋_GB2312" w:cs="Times New Roman"/>
          <w:color w:val="auto"/>
          <w:szCs w:val="32"/>
          <w:lang w:val="en-US" w:eastAsia="zh-CN"/>
        </w:rPr>
        <w:t>强化工作力量，完善团工作述职测评制度，用好绩效考核“指挥棒”，实现基层团工作清单化管理；做好团干部配备和轮训，着力打造德才兼备的高素质团干部队伍。强化资源配置，推动共青团工作品牌化、项目化，做实“希望小屋”“燕归巢”“青年人才驿站”等项目品牌，加快建立资源配置社会化动员机制。强化团员管理，健全团员激励约束制度，探索积分入团、推优入团浏阳经验，构建学社联动的志愿服务体系。强化团教协作，成立团教协作课题组，推动建立县级团校，进一步巩固学校团队基础性、源头性地位。</w:t>
      </w:r>
    </w:p>
    <w:p>
      <w:pPr>
        <w:numPr>
          <w:ilvl w:val="255"/>
          <w:numId w:val="0"/>
        </w:num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lang w:eastAsia="zh-CN"/>
        </w:rPr>
        <w:t>（</w:t>
      </w:r>
      <w:r>
        <w:rPr>
          <w:rFonts w:hint="eastAsia" w:ascii="楷体" w:hAnsi="楷体" w:eastAsia="楷体" w:cs="楷体"/>
          <w:b/>
          <w:bCs/>
          <w:szCs w:val="32"/>
          <w:lang w:val="en-US" w:eastAsia="zh-CN"/>
        </w:rPr>
        <w:t>四</w:t>
      </w:r>
      <w:r>
        <w:rPr>
          <w:rFonts w:hint="eastAsia" w:ascii="楷体" w:hAnsi="楷体" w:eastAsia="楷体" w:cs="楷体"/>
          <w:b/>
          <w:bCs/>
          <w:szCs w:val="32"/>
          <w:lang w:eastAsia="zh-CN"/>
        </w:rPr>
        <w:t>）</w:t>
      </w:r>
      <w:r>
        <w:rPr>
          <w:rFonts w:hint="eastAsia" w:ascii="楷体" w:hAnsi="楷体" w:eastAsia="楷体" w:cs="楷体"/>
          <w:b/>
          <w:bCs/>
          <w:szCs w:val="32"/>
        </w:rPr>
        <w:t>部门整体支出规模、使用方向、主要内容和涉及范围</w:t>
      </w:r>
    </w:p>
    <w:p>
      <w:pPr>
        <w:spacing w:line="560" w:lineRule="exact"/>
        <w:ind w:firstLine="643" w:firstLineChars="200"/>
        <w:outlineLvl w:val="2"/>
        <w:rPr>
          <w:rFonts w:hint="eastAsia" w:ascii="楷体" w:hAnsi="楷体" w:eastAsia="楷体" w:cs="楷体"/>
          <w:b/>
          <w:bCs/>
          <w:szCs w:val="32"/>
          <w:lang w:val="en-US" w:eastAsia="zh-CN"/>
        </w:rPr>
      </w:pPr>
      <w:r>
        <w:rPr>
          <w:rFonts w:hint="eastAsia" w:ascii="楷体" w:hAnsi="楷体" w:eastAsia="楷体" w:cs="楷体"/>
          <w:b/>
          <w:bCs/>
          <w:szCs w:val="32"/>
          <w:lang w:val="en-US" w:eastAsia="zh-CN"/>
        </w:rPr>
        <w:t>1、部门</w:t>
      </w:r>
      <w:r>
        <w:rPr>
          <w:rFonts w:hint="eastAsia" w:ascii="楷体" w:hAnsi="楷体" w:eastAsia="楷体" w:cs="楷体"/>
          <w:b/>
          <w:bCs/>
          <w:szCs w:val="32"/>
        </w:rPr>
        <w:t>整体支出</w:t>
      </w:r>
      <w:bookmarkStart w:id="0" w:name="_Hlk79679135"/>
      <w:bookmarkStart w:id="1" w:name="_Hlk79645859"/>
      <w:r>
        <w:rPr>
          <w:rFonts w:hint="eastAsia" w:ascii="楷体" w:hAnsi="楷体" w:eastAsia="楷体" w:cs="楷体"/>
          <w:b/>
          <w:bCs/>
          <w:szCs w:val="32"/>
          <w:lang w:val="en-US" w:eastAsia="zh-CN"/>
        </w:rPr>
        <w:t>规模</w:t>
      </w:r>
    </w:p>
    <w:p>
      <w:pPr>
        <w:spacing w:line="560" w:lineRule="exact"/>
        <w:ind w:firstLine="640" w:firstLineChars="200"/>
        <w:rPr>
          <w:rFonts w:hint="eastAsia" w:ascii="Times New Roman" w:hAnsi="Times New Roman" w:eastAsia="仿宋_GB2312" w:cs="Times New Roman"/>
          <w:szCs w:val="32"/>
        </w:rPr>
      </w:pPr>
      <w:r>
        <w:rPr>
          <w:rFonts w:hint="eastAsia" w:ascii="Times New Roman" w:hAnsi="Times New Roman" w:eastAsia="仿宋_GB2312" w:cs="Times New Roman"/>
          <w:szCs w:val="32"/>
        </w:rPr>
        <w:t>2022年</w:t>
      </w:r>
      <w:bookmarkEnd w:id="0"/>
      <w:r>
        <w:rPr>
          <w:rFonts w:hint="eastAsia" w:ascii="Times New Roman" w:hAnsi="Times New Roman" w:eastAsia="仿宋_GB2312" w:cs="Times New Roman"/>
          <w:szCs w:val="32"/>
        </w:rPr>
        <w:t>年初预算支出</w:t>
      </w:r>
      <w:r>
        <w:rPr>
          <w:rFonts w:hint="eastAsia" w:ascii="Times New Roman" w:hAnsi="Times New Roman" w:eastAsia="仿宋_GB2312" w:cs="Times New Roman"/>
          <w:szCs w:val="32"/>
          <w:lang w:val="en-US" w:eastAsia="zh-CN"/>
        </w:rPr>
        <w:t>246.32</w:t>
      </w:r>
      <w:r>
        <w:rPr>
          <w:rFonts w:hint="eastAsia" w:ascii="Times New Roman" w:hAnsi="Times New Roman" w:eastAsia="仿宋_GB2312" w:cs="Times New Roman"/>
          <w:szCs w:val="32"/>
        </w:rPr>
        <w:t>万元（其中：基本支出</w:t>
      </w:r>
      <w:r>
        <w:rPr>
          <w:rFonts w:hint="eastAsia" w:ascii="Times New Roman" w:hAnsi="Times New Roman" w:eastAsia="仿宋_GB2312" w:cs="Times New Roman"/>
          <w:szCs w:val="32"/>
          <w:lang w:val="en-US" w:eastAsia="zh-CN"/>
        </w:rPr>
        <w:t>130.90</w:t>
      </w:r>
      <w:r>
        <w:rPr>
          <w:rFonts w:hint="eastAsia" w:ascii="Times New Roman" w:hAnsi="Times New Roman" w:eastAsia="仿宋_GB2312" w:cs="Times New Roman"/>
          <w:szCs w:val="32"/>
        </w:rPr>
        <w:t>万元、项目支出</w:t>
      </w:r>
      <w:r>
        <w:rPr>
          <w:rFonts w:hint="eastAsia" w:ascii="Times New Roman" w:hAnsi="Times New Roman" w:eastAsia="仿宋_GB2312" w:cs="Times New Roman"/>
          <w:szCs w:val="32"/>
          <w:lang w:val="en-US" w:eastAsia="zh-CN"/>
        </w:rPr>
        <w:t>115.42</w:t>
      </w:r>
      <w:r>
        <w:rPr>
          <w:rFonts w:hint="eastAsia" w:ascii="Times New Roman" w:hAnsi="Times New Roman" w:eastAsia="仿宋_GB2312" w:cs="Times New Roman"/>
          <w:szCs w:val="32"/>
        </w:rPr>
        <w:t>万元），年终决算支出</w:t>
      </w:r>
      <w:bookmarkEnd w:id="1"/>
      <w:r>
        <w:rPr>
          <w:rFonts w:hint="eastAsia" w:ascii="Times New Roman" w:hAnsi="Times New Roman" w:eastAsia="仿宋_GB2312" w:cs="Times New Roman"/>
          <w:szCs w:val="32"/>
          <w:lang w:val="en-US" w:eastAsia="zh-CN"/>
        </w:rPr>
        <w:t>266.05</w:t>
      </w:r>
      <w:r>
        <w:rPr>
          <w:rFonts w:hint="eastAsia" w:ascii="Times New Roman" w:hAnsi="Times New Roman" w:eastAsia="仿宋_GB2312" w:cs="Times New Roman"/>
          <w:szCs w:val="32"/>
        </w:rPr>
        <w:t>万元（其中：基本支出</w:t>
      </w:r>
      <w:r>
        <w:rPr>
          <w:rFonts w:hint="eastAsia" w:ascii="Times New Roman" w:hAnsi="Times New Roman" w:eastAsia="仿宋_GB2312" w:cs="Times New Roman"/>
          <w:szCs w:val="32"/>
          <w:lang w:val="en-US" w:eastAsia="zh-CN"/>
        </w:rPr>
        <w:t>148.95</w:t>
      </w:r>
      <w:r>
        <w:rPr>
          <w:rFonts w:hint="eastAsia" w:ascii="Times New Roman" w:hAnsi="Times New Roman" w:eastAsia="仿宋_GB2312" w:cs="Times New Roman"/>
          <w:szCs w:val="32"/>
        </w:rPr>
        <w:t>万元、项目支出</w:t>
      </w:r>
      <w:r>
        <w:rPr>
          <w:rFonts w:hint="eastAsia" w:ascii="Times New Roman" w:hAnsi="Times New Roman" w:eastAsia="仿宋_GB2312" w:cs="Times New Roman"/>
          <w:szCs w:val="32"/>
          <w:lang w:val="en-US" w:eastAsia="zh-CN"/>
        </w:rPr>
        <w:t>117.10</w:t>
      </w:r>
      <w:r>
        <w:rPr>
          <w:rFonts w:hint="eastAsia" w:ascii="Times New Roman" w:hAnsi="Times New Roman" w:eastAsia="仿宋_GB2312" w:cs="Times New Roman"/>
          <w:szCs w:val="32"/>
        </w:rPr>
        <w:t>万元）。详情如下表：</w:t>
      </w:r>
    </w:p>
    <w:p>
      <w:pPr>
        <w:spacing w:line="360" w:lineRule="exact"/>
        <w:ind w:firstLine="400" w:firstLineChars="200"/>
        <w:jc w:val="right"/>
        <w:rPr>
          <w:rFonts w:ascii="Times New Roman" w:hAnsi="Times New Roman" w:cs="Times New Roman"/>
          <w:kern w:val="0"/>
          <w:sz w:val="20"/>
          <w:szCs w:val="20"/>
        </w:rPr>
      </w:pPr>
      <w:r>
        <w:rPr>
          <w:rFonts w:ascii="Times New Roman" w:hAnsi="Times New Roman" w:cs="Times New Roman"/>
          <w:kern w:val="0"/>
          <w:sz w:val="20"/>
          <w:szCs w:val="20"/>
        </w:rPr>
        <w:t>金额单位：万元</w:t>
      </w:r>
    </w:p>
    <w:tbl>
      <w:tblPr>
        <w:tblStyle w:val="14"/>
        <w:tblW w:w="4991" w:type="pct"/>
        <w:tblInd w:w="-153" w:type="dxa"/>
        <w:tblLayout w:type="fixed"/>
        <w:tblCellMar>
          <w:top w:w="0" w:type="dxa"/>
          <w:left w:w="108" w:type="dxa"/>
          <w:bottom w:w="0" w:type="dxa"/>
          <w:right w:w="108" w:type="dxa"/>
        </w:tblCellMar>
      </w:tblPr>
      <w:tblGrid>
        <w:gridCol w:w="683"/>
        <w:gridCol w:w="1511"/>
        <w:gridCol w:w="1671"/>
        <w:gridCol w:w="1563"/>
        <w:gridCol w:w="1906"/>
        <w:gridCol w:w="1174"/>
      </w:tblGrid>
      <w:tr>
        <w:tblPrEx>
          <w:tblCellMar>
            <w:top w:w="0" w:type="dxa"/>
            <w:left w:w="108" w:type="dxa"/>
            <w:bottom w:w="0" w:type="dxa"/>
            <w:right w:w="108" w:type="dxa"/>
          </w:tblCellMar>
        </w:tblPrEx>
        <w:trPr>
          <w:trHeight w:val="499" w:hRule="exact"/>
          <w:tblHeader/>
        </w:trPr>
        <w:tc>
          <w:tcPr>
            <w:tcW w:w="402" w:type="pct"/>
            <w:tcBorders>
              <w:top w:val="single" w:color="000000" w:sz="8" w:space="0"/>
              <w:left w:val="single" w:color="000000" w:sz="8" w:space="0"/>
              <w:bottom w:val="single" w:color="000000" w:sz="8" w:space="0"/>
              <w:right w:val="single" w:color="000000" w:sz="8" w:space="0"/>
            </w:tcBorders>
            <w:shd w:val="clear" w:color="000000" w:fill="FFFFFF"/>
            <w:noWrap/>
            <w:vAlign w:val="center"/>
          </w:tcPr>
          <w:p>
            <w:pPr>
              <w:widowControl/>
              <w:spacing w:line="240" w:lineRule="exact"/>
              <w:jc w:val="center"/>
              <w:rPr>
                <w:rFonts w:ascii="仿宋_GB2312" w:hAnsi="仿宋" w:eastAsia="仿宋_GB2312" w:cs="宋体"/>
                <w:b/>
                <w:bCs/>
                <w:color w:val="000000"/>
                <w:kern w:val="0"/>
                <w:sz w:val="21"/>
                <w:szCs w:val="21"/>
              </w:rPr>
            </w:pPr>
            <w:r>
              <w:rPr>
                <w:rFonts w:hint="eastAsia" w:ascii="仿宋_GB2312" w:hAnsi="仿宋" w:eastAsia="仿宋_GB2312" w:cs="宋体"/>
                <w:b/>
                <w:bCs/>
                <w:color w:val="000000"/>
                <w:kern w:val="0"/>
                <w:sz w:val="21"/>
                <w:szCs w:val="21"/>
              </w:rPr>
              <w:t>序号</w:t>
            </w:r>
          </w:p>
        </w:tc>
        <w:tc>
          <w:tcPr>
            <w:tcW w:w="886" w:type="pct"/>
            <w:tcBorders>
              <w:top w:val="single" w:color="000000" w:sz="8" w:space="0"/>
              <w:left w:val="nil"/>
              <w:bottom w:val="single" w:color="000000" w:sz="8" w:space="0"/>
              <w:right w:val="single" w:color="000000" w:sz="8" w:space="0"/>
            </w:tcBorders>
            <w:shd w:val="clear" w:color="000000" w:fill="FFFFFF"/>
            <w:vAlign w:val="center"/>
          </w:tcPr>
          <w:p>
            <w:pPr>
              <w:widowControl/>
              <w:spacing w:line="240" w:lineRule="exact"/>
              <w:jc w:val="center"/>
              <w:rPr>
                <w:rFonts w:ascii="仿宋_GB2312" w:hAnsi="仿宋" w:eastAsia="仿宋_GB2312" w:cs="宋体"/>
                <w:b/>
                <w:bCs/>
                <w:color w:val="000000"/>
                <w:kern w:val="0"/>
                <w:sz w:val="21"/>
                <w:szCs w:val="21"/>
              </w:rPr>
            </w:pPr>
            <w:r>
              <w:rPr>
                <w:rFonts w:hint="eastAsia" w:ascii="仿宋_GB2312" w:hAnsi="仿宋" w:eastAsia="仿宋_GB2312" w:cs="宋体"/>
                <w:b/>
                <w:bCs/>
                <w:color w:val="000000"/>
                <w:kern w:val="0"/>
                <w:sz w:val="21"/>
                <w:szCs w:val="21"/>
              </w:rPr>
              <w:t>项目大类</w:t>
            </w:r>
          </w:p>
        </w:tc>
        <w:tc>
          <w:tcPr>
            <w:tcW w:w="981" w:type="pct"/>
            <w:tcBorders>
              <w:top w:val="single" w:color="000000" w:sz="8" w:space="0"/>
              <w:left w:val="nil"/>
              <w:bottom w:val="single" w:color="000000" w:sz="8" w:space="0"/>
              <w:right w:val="single" w:color="000000" w:sz="8" w:space="0"/>
            </w:tcBorders>
            <w:shd w:val="clear" w:color="000000" w:fill="FFFFFF"/>
            <w:noWrap/>
            <w:vAlign w:val="center"/>
          </w:tcPr>
          <w:p>
            <w:pPr>
              <w:widowControl/>
              <w:spacing w:line="240" w:lineRule="exact"/>
              <w:jc w:val="center"/>
              <w:rPr>
                <w:rFonts w:ascii="仿宋_GB2312" w:hAnsi="仿宋" w:eastAsia="仿宋_GB2312" w:cs="宋体"/>
                <w:b/>
                <w:bCs/>
                <w:color w:val="000000"/>
                <w:kern w:val="0"/>
                <w:sz w:val="21"/>
                <w:szCs w:val="21"/>
              </w:rPr>
            </w:pPr>
            <w:r>
              <w:rPr>
                <w:rFonts w:hint="eastAsia" w:ascii="仿宋_GB2312" w:hAnsi="仿宋" w:eastAsia="仿宋_GB2312" w:cs="宋体"/>
                <w:b/>
                <w:bCs/>
                <w:color w:val="000000"/>
                <w:kern w:val="0"/>
                <w:sz w:val="21"/>
                <w:szCs w:val="21"/>
              </w:rPr>
              <w:t>年初预算</w:t>
            </w:r>
          </w:p>
        </w:tc>
        <w:tc>
          <w:tcPr>
            <w:tcW w:w="918" w:type="pct"/>
            <w:tcBorders>
              <w:top w:val="single" w:color="000000" w:sz="8" w:space="0"/>
              <w:left w:val="nil"/>
              <w:bottom w:val="single" w:color="000000" w:sz="8" w:space="0"/>
              <w:right w:val="single" w:color="000000" w:sz="8" w:space="0"/>
            </w:tcBorders>
            <w:shd w:val="clear" w:color="000000" w:fill="FFFFFF"/>
            <w:noWrap/>
            <w:vAlign w:val="center"/>
          </w:tcPr>
          <w:p>
            <w:pPr>
              <w:widowControl/>
              <w:spacing w:line="240" w:lineRule="exact"/>
              <w:jc w:val="center"/>
              <w:rPr>
                <w:rFonts w:ascii="仿宋_GB2312" w:hAnsi="仿宋" w:eastAsia="仿宋_GB2312" w:cs="宋体"/>
                <w:b/>
                <w:bCs/>
                <w:color w:val="000000"/>
                <w:kern w:val="0"/>
                <w:sz w:val="21"/>
                <w:szCs w:val="21"/>
              </w:rPr>
            </w:pPr>
            <w:r>
              <w:rPr>
                <w:rFonts w:hint="eastAsia" w:ascii="仿宋_GB2312" w:hAnsi="仿宋" w:eastAsia="仿宋_GB2312" w:cs="宋体"/>
                <w:b/>
                <w:bCs/>
                <w:color w:val="000000"/>
                <w:kern w:val="0"/>
                <w:sz w:val="21"/>
                <w:szCs w:val="21"/>
              </w:rPr>
              <w:t>本年决算收入</w:t>
            </w:r>
          </w:p>
        </w:tc>
        <w:tc>
          <w:tcPr>
            <w:tcW w:w="1119" w:type="pct"/>
            <w:tcBorders>
              <w:top w:val="single" w:color="000000" w:sz="8" w:space="0"/>
              <w:left w:val="nil"/>
              <w:bottom w:val="single" w:color="000000" w:sz="8" w:space="0"/>
              <w:right w:val="single" w:color="000000" w:sz="8" w:space="0"/>
            </w:tcBorders>
            <w:shd w:val="clear" w:color="000000" w:fill="FFFFFF"/>
            <w:noWrap/>
            <w:vAlign w:val="center"/>
          </w:tcPr>
          <w:p>
            <w:pPr>
              <w:widowControl/>
              <w:spacing w:line="240" w:lineRule="exact"/>
              <w:jc w:val="center"/>
              <w:rPr>
                <w:rFonts w:ascii="仿宋_GB2312" w:hAnsi="仿宋" w:eastAsia="仿宋_GB2312" w:cs="宋体"/>
                <w:b/>
                <w:bCs/>
                <w:color w:val="000000"/>
                <w:kern w:val="0"/>
                <w:sz w:val="21"/>
                <w:szCs w:val="21"/>
              </w:rPr>
            </w:pPr>
            <w:r>
              <w:rPr>
                <w:rFonts w:hint="eastAsia" w:ascii="仿宋_GB2312" w:hAnsi="仿宋" w:eastAsia="仿宋_GB2312" w:cs="宋体"/>
                <w:b/>
                <w:bCs/>
                <w:color w:val="000000"/>
                <w:kern w:val="0"/>
                <w:sz w:val="21"/>
                <w:szCs w:val="21"/>
              </w:rPr>
              <w:t>本年决算支出</w:t>
            </w:r>
          </w:p>
        </w:tc>
        <w:tc>
          <w:tcPr>
            <w:tcW w:w="690" w:type="pct"/>
            <w:tcBorders>
              <w:top w:val="single" w:color="000000" w:sz="8" w:space="0"/>
              <w:left w:val="nil"/>
              <w:bottom w:val="single" w:color="000000" w:sz="8" w:space="0"/>
              <w:right w:val="single" w:color="000000" w:sz="8" w:space="0"/>
            </w:tcBorders>
            <w:shd w:val="clear" w:color="000000" w:fill="FFFFFF"/>
            <w:noWrap/>
            <w:vAlign w:val="center"/>
          </w:tcPr>
          <w:p>
            <w:pPr>
              <w:widowControl/>
              <w:spacing w:line="240" w:lineRule="exact"/>
              <w:jc w:val="center"/>
              <w:rPr>
                <w:rFonts w:ascii="仿宋_GB2312" w:hAnsi="仿宋" w:eastAsia="仿宋_GB2312" w:cs="宋体"/>
                <w:b/>
                <w:bCs/>
                <w:color w:val="000000"/>
                <w:kern w:val="0"/>
                <w:sz w:val="21"/>
                <w:szCs w:val="21"/>
              </w:rPr>
            </w:pPr>
            <w:r>
              <w:rPr>
                <w:rFonts w:hint="eastAsia" w:ascii="仿宋_GB2312" w:hAnsi="仿宋" w:eastAsia="仿宋_GB2312" w:cs="宋体"/>
                <w:b/>
                <w:bCs/>
                <w:color w:val="000000"/>
                <w:kern w:val="0"/>
                <w:sz w:val="21"/>
                <w:szCs w:val="21"/>
              </w:rPr>
              <w:t>备注</w:t>
            </w:r>
          </w:p>
        </w:tc>
      </w:tr>
      <w:tr>
        <w:tblPrEx>
          <w:tblCellMar>
            <w:top w:w="0" w:type="dxa"/>
            <w:left w:w="108" w:type="dxa"/>
            <w:bottom w:w="0" w:type="dxa"/>
            <w:right w:w="108" w:type="dxa"/>
          </w:tblCellMar>
        </w:tblPrEx>
        <w:trPr>
          <w:trHeight w:val="499" w:hRule="exact"/>
        </w:trPr>
        <w:tc>
          <w:tcPr>
            <w:tcW w:w="402" w:type="pct"/>
            <w:tcBorders>
              <w:top w:val="nil"/>
              <w:left w:val="single" w:color="000000" w:sz="8" w:space="0"/>
              <w:bottom w:val="single" w:color="000000" w:sz="8" w:space="0"/>
              <w:right w:val="single" w:color="000000" w:sz="8" w:space="0"/>
            </w:tcBorders>
            <w:shd w:val="clear" w:color="000000" w:fill="FFFFFF"/>
            <w:vAlign w:val="center"/>
          </w:tcPr>
          <w:p>
            <w:pPr>
              <w:widowControl/>
              <w:spacing w:line="240" w:lineRule="exact"/>
              <w:jc w:val="center"/>
              <w:rPr>
                <w:rFonts w:ascii="仿宋_GB2312" w:hAnsi="仿宋" w:eastAsia="仿宋_GB2312" w:cs="宋体"/>
                <w:color w:val="000000"/>
                <w:kern w:val="0"/>
                <w:sz w:val="21"/>
                <w:szCs w:val="21"/>
              </w:rPr>
            </w:pPr>
            <w:r>
              <w:rPr>
                <w:rFonts w:hint="eastAsia" w:ascii="仿宋_GB2312" w:hAnsi="仿宋" w:eastAsia="仿宋_GB2312" w:cs="宋体"/>
                <w:color w:val="000000"/>
                <w:kern w:val="0"/>
                <w:sz w:val="21"/>
                <w:szCs w:val="21"/>
              </w:rPr>
              <w:t>1</w:t>
            </w:r>
          </w:p>
        </w:tc>
        <w:tc>
          <w:tcPr>
            <w:tcW w:w="886" w:type="pct"/>
            <w:tcBorders>
              <w:top w:val="nil"/>
              <w:left w:val="nil"/>
              <w:bottom w:val="single" w:color="000000" w:sz="8" w:space="0"/>
              <w:right w:val="single" w:color="000000" w:sz="8" w:space="0"/>
            </w:tcBorders>
            <w:shd w:val="clear" w:color="000000" w:fill="FFFFFF"/>
            <w:vAlign w:val="center"/>
          </w:tcPr>
          <w:p>
            <w:pPr>
              <w:widowControl/>
              <w:spacing w:line="240" w:lineRule="exact"/>
              <w:rPr>
                <w:rFonts w:ascii="仿宋_GB2312" w:hAnsi="仿宋" w:eastAsia="仿宋_GB2312"/>
                <w:color w:val="000000"/>
                <w:kern w:val="0"/>
                <w:sz w:val="21"/>
                <w:szCs w:val="21"/>
              </w:rPr>
            </w:pPr>
            <w:r>
              <w:rPr>
                <w:rFonts w:hint="eastAsia" w:ascii="仿宋_GB2312" w:hAnsi="仿宋" w:eastAsia="仿宋_GB2312" w:cs="宋体"/>
                <w:color w:val="000000"/>
                <w:kern w:val="0"/>
                <w:sz w:val="21"/>
                <w:szCs w:val="21"/>
              </w:rPr>
              <w:t>基本支出</w:t>
            </w:r>
          </w:p>
        </w:tc>
        <w:tc>
          <w:tcPr>
            <w:tcW w:w="1671"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130.90</w:t>
            </w:r>
          </w:p>
        </w:tc>
        <w:tc>
          <w:tcPr>
            <w:tcW w:w="1563"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148.95</w:t>
            </w:r>
          </w:p>
        </w:tc>
        <w:tc>
          <w:tcPr>
            <w:tcW w:w="1906"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ascii="仿宋_GB2312" w:hAnsi="仿宋" w:eastAsia="仿宋_GB2312"/>
                <w:color w:val="000000"/>
                <w:kern w:val="0"/>
                <w:sz w:val="21"/>
                <w:szCs w:val="21"/>
              </w:rPr>
            </w:pPr>
            <w:r>
              <w:rPr>
                <w:rFonts w:hint="eastAsia" w:ascii="仿宋_GB2312" w:hAnsi="仿宋" w:eastAsia="仿宋_GB2312"/>
                <w:color w:val="000000"/>
                <w:kern w:val="0"/>
                <w:sz w:val="21"/>
                <w:szCs w:val="21"/>
                <w:lang w:val="en-US" w:eastAsia="zh-CN"/>
              </w:rPr>
              <w:t>148.95</w:t>
            </w:r>
          </w:p>
        </w:tc>
        <w:tc>
          <w:tcPr>
            <w:tcW w:w="690" w:type="pct"/>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ascii="仿宋_GB2312" w:hAnsi="仿宋" w:eastAsia="仿宋_GB2312"/>
                <w:color w:val="000000"/>
                <w:kern w:val="0"/>
                <w:sz w:val="21"/>
                <w:szCs w:val="21"/>
              </w:rPr>
            </w:pPr>
          </w:p>
        </w:tc>
      </w:tr>
      <w:tr>
        <w:tblPrEx>
          <w:tblCellMar>
            <w:top w:w="0" w:type="dxa"/>
            <w:left w:w="108" w:type="dxa"/>
            <w:bottom w:w="0" w:type="dxa"/>
            <w:right w:w="108" w:type="dxa"/>
          </w:tblCellMar>
        </w:tblPrEx>
        <w:trPr>
          <w:trHeight w:val="499" w:hRule="exact"/>
        </w:trPr>
        <w:tc>
          <w:tcPr>
            <w:tcW w:w="2333" w:type="dxa"/>
            <w:gridSpan w:val="2"/>
            <w:tcBorders>
              <w:top w:val="nil"/>
              <w:left w:val="single" w:color="000000" w:sz="8" w:space="0"/>
              <w:bottom w:val="single" w:color="000000" w:sz="8" w:space="0"/>
              <w:right w:val="single" w:color="000000" w:sz="8" w:space="0"/>
            </w:tcBorders>
            <w:shd w:val="clear" w:color="000000" w:fill="FFFFFF"/>
            <w:vAlign w:val="center"/>
          </w:tcPr>
          <w:p>
            <w:pPr>
              <w:widowControl/>
              <w:textAlignment w:val="center"/>
              <w:rPr>
                <w:rFonts w:ascii="仿宋" w:hAnsi="仿宋" w:cs="仿宋"/>
                <w:color w:val="000000"/>
                <w:kern w:val="0"/>
                <w:sz w:val="21"/>
                <w:szCs w:val="21"/>
              </w:rPr>
            </w:pPr>
            <w:r>
              <w:rPr>
                <w:rFonts w:hint="eastAsia" w:ascii="仿宋" w:hAnsi="仿宋" w:cs="仿宋"/>
                <w:color w:val="000000"/>
                <w:kern w:val="0"/>
                <w:sz w:val="20"/>
                <w:szCs w:val="20"/>
                <w:lang w:bidi="ar"/>
              </w:rPr>
              <w:t xml:space="preserve"> 其中： 人员经费</w:t>
            </w:r>
          </w:p>
        </w:tc>
        <w:tc>
          <w:tcPr>
            <w:tcW w:w="1671"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114.90</w:t>
            </w:r>
          </w:p>
        </w:tc>
        <w:tc>
          <w:tcPr>
            <w:tcW w:w="1662"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133.25</w:t>
            </w:r>
          </w:p>
        </w:tc>
        <w:tc>
          <w:tcPr>
            <w:tcW w:w="1906"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ascii="仿宋_GB2312" w:hAnsi="仿宋" w:eastAsia="仿宋_GB2312"/>
                <w:color w:val="000000"/>
                <w:kern w:val="0"/>
                <w:sz w:val="21"/>
                <w:szCs w:val="21"/>
              </w:rPr>
            </w:pPr>
            <w:r>
              <w:rPr>
                <w:rFonts w:hint="eastAsia" w:ascii="仿宋_GB2312" w:hAnsi="仿宋" w:eastAsia="仿宋_GB2312"/>
                <w:color w:val="000000"/>
                <w:kern w:val="0"/>
                <w:sz w:val="21"/>
                <w:szCs w:val="21"/>
                <w:lang w:val="en-US" w:eastAsia="zh-CN"/>
              </w:rPr>
              <w:t>133.25</w:t>
            </w:r>
          </w:p>
        </w:tc>
        <w:tc>
          <w:tcPr>
            <w:tcW w:w="690" w:type="pct"/>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ascii="仿宋_GB2312" w:hAnsi="仿宋" w:eastAsia="仿宋_GB2312"/>
                <w:color w:val="000000"/>
                <w:kern w:val="0"/>
                <w:sz w:val="21"/>
                <w:szCs w:val="21"/>
              </w:rPr>
            </w:pPr>
          </w:p>
        </w:tc>
      </w:tr>
      <w:tr>
        <w:tblPrEx>
          <w:tblCellMar>
            <w:top w:w="0" w:type="dxa"/>
            <w:left w:w="108" w:type="dxa"/>
            <w:bottom w:w="0" w:type="dxa"/>
            <w:right w:w="108" w:type="dxa"/>
          </w:tblCellMar>
        </w:tblPrEx>
        <w:trPr>
          <w:trHeight w:val="499" w:hRule="exact"/>
        </w:trPr>
        <w:tc>
          <w:tcPr>
            <w:tcW w:w="2333" w:type="dxa"/>
            <w:gridSpan w:val="2"/>
            <w:tcBorders>
              <w:top w:val="nil"/>
              <w:left w:val="single" w:color="000000" w:sz="8" w:space="0"/>
              <w:bottom w:val="single" w:color="000000" w:sz="8" w:space="0"/>
              <w:right w:val="single" w:color="000000" w:sz="8" w:space="0"/>
            </w:tcBorders>
            <w:shd w:val="clear" w:color="000000" w:fill="FFFFFF"/>
            <w:vAlign w:val="center"/>
          </w:tcPr>
          <w:p>
            <w:pPr>
              <w:widowControl/>
              <w:jc w:val="left"/>
              <w:textAlignment w:val="center"/>
              <w:rPr>
                <w:rFonts w:ascii="仿宋" w:hAnsi="仿宋" w:cs="仿宋"/>
                <w:color w:val="000000"/>
                <w:kern w:val="0"/>
                <w:sz w:val="21"/>
                <w:szCs w:val="21"/>
              </w:rPr>
            </w:pPr>
            <w:r>
              <w:rPr>
                <w:rFonts w:hint="eastAsia" w:ascii="仿宋" w:hAnsi="仿宋" w:cs="仿宋"/>
                <w:color w:val="000000"/>
                <w:kern w:val="0"/>
                <w:sz w:val="20"/>
                <w:szCs w:val="20"/>
                <w:lang w:bidi="ar"/>
              </w:rPr>
              <w:t xml:space="preserve">    </w:t>
            </w:r>
            <w:r>
              <w:rPr>
                <w:rFonts w:hint="eastAsia" w:ascii="仿宋" w:hAnsi="仿宋" w:cs="仿宋"/>
                <w:color w:val="000000"/>
                <w:kern w:val="0"/>
                <w:sz w:val="20"/>
                <w:szCs w:val="20"/>
                <w:lang w:val="en-US" w:eastAsia="zh-CN" w:bidi="ar"/>
              </w:rPr>
              <w:t xml:space="preserve"> </w:t>
            </w:r>
            <w:r>
              <w:rPr>
                <w:rFonts w:hint="eastAsia" w:ascii="仿宋" w:hAnsi="仿宋" w:cs="仿宋"/>
                <w:color w:val="000000"/>
                <w:kern w:val="0"/>
                <w:sz w:val="20"/>
                <w:szCs w:val="20"/>
                <w:lang w:bidi="ar"/>
              </w:rPr>
              <w:t xml:space="preserve"> </w:t>
            </w:r>
            <w:r>
              <w:rPr>
                <w:rFonts w:hint="eastAsia" w:ascii="仿宋" w:hAnsi="仿宋" w:cs="仿宋"/>
                <w:color w:val="000000"/>
                <w:kern w:val="0"/>
                <w:sz w:val="20"/>
                <w:szCs w:val="20"/>
                <w:lang w:val="en-US" w:eastAsia="zh-CN" w:bidi="ar"/>
              </w:rPr>
              <w:t xml:space="preserve"> </w:t>
            </w:r>
            <w:r>
              <w:rPr>
                <w:rFonts w:hint="eastAsia" w:ascii="仿宋" w:hAnsi="仿宋" w:cs="仿宋"/>
                <w:color w:val="000000"/>
                <w:kern w:val="0"/>
                <w:sz w:val="20"/>
                <w:szCs w:val="20"/>
                <w:lang w:bidi="ar"/>
              </w:rPr>
              <w:t xml:space="preserve"> 公用经费</w:t>
            </w:r>
          </w:p>
        </w:tc>
        <w:tc>
          <w:tcPr>
            <w:tcW w:w="1671"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16.00</w:t>
            </w:r>
          </w:p>
        </w:tc>
        <w:tc>
          <w:tcPr>
            <w:tcW w:w="1662"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15.70</w:t>
            </w:r>
          </w:p>
        </w:tc>
        <w:tc>
          <w:tcPr>
            <w:tcW w:w="1906"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ascii="仿宋_GB2312" w:hAnsi="仿宋" w:eastAsia="仿宋_GB2312"/>
                <w:color w:val="000000"/>
                <w:kern w:val="0"/>
                <w:sz w:val="21"/>
                <w:szCs w:val="21"/>
              </w:rPr>
            </w:pPr>
            <w:r>
              <w:rPr>
                <w:rFonts w:hint="eastAsia" w:ascii="仿宋_GB2312" w:hAnsi="仿宋" w:eastAsia="仿宋_GB2312"/>
                <w:color w:val="000000"/>
                <w:kern w:val="0"/>
                <w:sz w:val="21"/>
                <w:szCs w:val="21"/>
                <w:lang w:val="en-US" w:eastAsia="zh-CN"/>
              </w:rPr>
              <w:t>15.70</w:t>
            </w:r>
          </w:p>
        </w:tc>
        <w:tc>
          <w:tcPr>
            <w:tcW w:w="690" w:type="pct"/>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ascii="仿宋_GB2312" w:hAnsi="仿宋" w:eastAsia="仿宋_GB2312"/>
                <w:color w:val="000000"/>
                <w:kern w:val="0"/>
                <w:sz w:val="21"/>
                <w:szCs w:val="21"/>
              </w:rPr>
            </w:pPr>
          </w:p>
        </w:tc>
      </w:tr>
      <w:tr>
        <w:tblPrEx>
          <w:tblCellMar>
            <w:top w:w="0" w:type="dxa"/>
            <w:left w:w="108" w:type="dxa"/>
            <w:bottom w:w="0" w:type="dxa"/>
            <w:right w:w="108" w:type="dxa"/>
          </w:tblCellMar>
        </w:tblPrEx>
        <w:trPr>
          <w:trHeight w:val="499" w:hRule="exact"/>
        </w:trPr>
        <w:tc>
          <w:tcPr>
            <w:tcW w:w="402" w:type="pct"/>
            <w:tcBorders>
              <w:top w:val="nil"/>
              <w:left w:val="single" w:color="000000" w:sz="8" w:space="0"/>
              <w:bottom w:val="single" w:color="000000" w:sz="8" w:space="0"/>
              <w:right w:val="single" w:color="000000" w:sz="8" w:space="0"/>
            </w:tcBorders>
            <w:shd w:val="clear" w:color="000000" w:fill="FFFFFF"/>
            <w:noWrap/>
            <w:vAlign w:val="center"/>
          </w:tcPr>
          <w:p>
            <w:pPr>
              <w:widowControl/>
              <w:spacing w:line="240" w:lineRule="exact"/>
              <w:jc w:val="center"/>
              <w:rPr>
                <w:rFonts w:ascii="仿宋_GB2312" w:hAnsi="仿宋" w:eastAsia="仿宋_GB2312" w:cs="宋体"/>
                <w:color w:val="000000"/>
                <w:kern w:val="0"/>
                <w:sz w:val="21"/>
                <w:szCs w:val="21"/>
              </w:rPr>
            </w:pPr>
            <w:r>
              <w:rPr>
                <w:rFonts w:hint="eastAsia" w:ascii="仿宋_GB2312" w:hAnsi="仿宋" w:eastAsia="仿宋_GB2312" w:cs="宋体"/>
                <w:color w:val="000000"/>
                <w:kern w:val="0"/>
                <w:sz w:val="21"/>
                <w:szCs w:val="21"/>
              </w:rPr>
              <w:t>2</w:t>
            </w:r>
          </w:p>
        </w:tc>
        <w:tc>
          <w:tcPr>
            <w:tcW w:w="886" w:type="pct"/>
            <w:tcBorders>
              <w:top w:val="nil"/>
              <w:left w:val="nil"/>
              <w:bottom w:val="single" w:color="000000" w:sz="8" w:space="0"/>
              <w:right w:val="single" w:color="000000" w:sz="8" w:space="0"/>
            </w:tcBorders>
            <w:shd w:val="clear" w:color="000000" w:fill="FFFFFF"/>
            <w:vAlign w:val="center"/>
          </w:tcPr>
          <w:p>
            <w:pPr>
              <w:widowControl/>
              <w:spacing w:line="240" w:lineRule="exact"/>
              <w:rPr>
                <w:rFonts w:ascii="仿宋_GB2312" w:hAnsi="仿宋" w:eastAsia="仿宋_GB2312"/>
                <w:color w:val="000000"/>
                <w:kern w:val="0"/>
                <w:sz w:val="21"/>
                <w:szCs w:val="21"/>
              </w:rPr>
            </w:pPr>
            <w:r>
              <w:rPr>
                <w:rFonts w:hint="eastAsia" w:ascii="仿宋_GB2312" w:hAnsi="仿宋" w:eastAsia="仿宋_GB2312" w:cs="宋体"/>
                <w:color w:val="000000"/>
                <w:kern w:val="0"/>
                <w:sz w:val="21"/>
                <w:szCs w:val="21"/>
              </w:rPr>
              <w:t>项目支出</w:t>
            </w:r>
          </w:p>
        </w:tc>
        <w:tc>
          <w:tcPr>
            <w:tcW w:w="1671"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115.42</w:t>
            </w:r>
          </w:p>
        </w:tc>
        <w:tc>
          <w:tcPr>
            <w:tcW w:w="1563"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eastAsia="zh-CN"/>
              </w:rPr>
            </w:pPr>
            <w:r>
              <w:rPr>
                <w:rFonts w:hint="eastAsia" w:ascii="仿宋_GB2312" w:hAnsi="仿宋" w:eastAsia="仿宋_GB2312"/>
                <w:color w:val="000000"/>
                <w:kern w:val="0"/>
                <w:sz w:val="21"/>
                <w:szCs w:val="21"/>
                <w:lang w:val="en-US" w:eastAsia="zh-CN"/>
              </w:rPr>
              <w:t>117.10</w:t>
            </w:r>
          </w:p>
        </w:tc>
        <w:tc>
          <w:tcPr>
            <w:tcW w:w="1906"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color w:val="000000"/>
                <w:kern w:val="0"/>
                <w:sz w:val="21"/>
                <w:szCs w:val="21"/>
                <w:lang w:val="en-US"/>
              </w:rPr>
            </w:pPr>
            <w:r>
              <w:rPr>
                <w:rFonts w:hint="eastAsia" w:ascii="仿宋_GB2312" w:hAnsi="仿宋" w:eastAsia="仿宋_GB2312"/>
                <w:color w:val="000000"/>
                <w:kern w:val="0"/>
                <w:sz w:val="21"/>
                <w:szCs w:val="21"/>
                <w:lang w:val="en-US" w:eastAsia="zh-CN"/>
              </w:rPr>
              <w:t>117.10</w:t>
            </w:r>
          </w:p>
        </w:tc>
        <w:tc>
          <w:tcPr>
            <w:tcW w:w="690" w:type="pct"/>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ascii="仿宋_GB2312" w:hAnsi="仿宋" w:eastAsia="仿宋_GB2312"/>
                <w:color w:val="000000"/>
                <w:kern w:val="0"/>
                <w:sz w:val="21"/>
                <w:szCs w:val="21"/>
              </w:rPr>
            </w:pPr>
          </w:p>
        </w:tc>
      </w:tr>
      <w:tr>
        <w:tblPrEx>
          <w:tblCellMar>
            <w:top w:w="0" w:type="dxa"/>
            <w:left w:w="108" w:type="dxa"/>
            <w:bottom w:w="0" w:type="dxa"/>
            <w:right w:w="108" w:type="dxa"/>
          </w:tblCellMar>
        </w:tblPrEx>
        <w:trPr>
          <w:trHeight w:val="499" w:hRule="exact"/>
        </w:trPr>
        <w:tc>
          <w:tcPr>
            <w:tcW w:w="1289" w:type="pct"/>
            <w:gridSpan w:val="2"/>
            <w:tcBorders>
              <w:top w:val="nil"/>
              <w:left w:val="single" w:color="000000" w:sz="8" w:space="0"/>
              <w:bottom w:val="single" w:color="000000" w:sz="8" w:space="0"/>
              <w:right w:val="single" w:color="000000" w:sz="8" w:space="0"/>
            </w:tcBorders>
            <w:shd w:val="clear" w:color="000000" w:fill="FFFFFF"/>
            <w:vAlign w:val="center"/>
          </w:tcPr>
          <w:p>
            <w:pPr>
              <w:widowControl/>
              <w:spacing w:line="240" w:lineRule="exact"/>
              <w:jc w:val="center"/>
              <w:rPr>
                <w:rFonts w:ascii="仿宋_GB2312" w:hAnsi="仿宋" w:eastAsia="仿宋_GB2312"/>
                <w:color w:val="000000"/>
                <w:kern w:val="0"/>
                <w:sz w:val="21"/>
                <w:szCs w:val="21"/>
              </w:rPr>
            </w:pPr>
            <w:r>
              <w:rPr>
                <w:rFonts w:hint="eastAsia" w:ascii="仿宋_GB2312" w:hAnsi="仿宋" w:eastAsia="仿宋_GB2312" w:cs="宋体"/>
                <w:b/>
                <w:bCs/>
                <w:color w:val="000000"/>
                <w:kern w:val="0"/>
                <w:sz w:val="21"/>
                <w:szCs w:val="21"/>
              </w:rPr>
              <w:t>合 计</w:t>
            </w:r>
          </w:p>
        </w:tc>
        <w:tc>
          <w:tcPr>
            <w:tcW w:w="981" w:type="pct"/>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b/>
                <w:bCs/>
                <w:color w:val="000000"/>
                <w:kern w:val="0"/>
                <w:sz w:val="21"/>
                <w:szCs w:val="21"/>
                <w:lang w:val="en-US" w:eastAsia="zh-CN"/>
              </w:rPr>
            </w:pPr>
            <w:r>
              <w:rPr>
                <w:rFonts w:hint="eastAsia" w:ascii="仿宋_GB2312" w:hAnsi="仿宋" w:eastAsia="仿宋_GB2312"/>
                <w:b/>
                <w:bCs/>
                <w:color w:val="000000"/>
                <w:kern w:val="0"/>
                <w:sz w:val="21"/>
                <w:szCs w:val="21"/>
                <w:lang w:val="en-US" w:eastAsia="zh-CN"/>
              </w:rPr>
              <w:t>246.32</w:t>
            </w:r>
          </w:p>
        </w:tc>
        <w:tc>
          <w:tcPr>
            <w:tcW w:w="918" w:type="pct"/>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b/>
                <w:bCs/>
                <w:color w:val="000000"/>
                <w:kern w:val="0"/>
                <w:sz w:val="21"/>
                <w:szCs w:val="21"/>
                <w:lang w:val="en-US" w:eastAsia="zh-CN"/>
              </w:rPr>
            </w:pPr>
            <w:r>
              <w:rPr>
                <w:rFonts w:hint="eastAsia" w:ascii="仿宋_GB2312" w:hAnsi="仿宋" w:eastAsia="仿宋_GB2312"/>
                <w:b/>
                <w:bCs/>
                <w:color w:val="000000"/>
                <w:kern w:val="0"/>
                <w:sz w:val="21"/>
                <w:szCs w:val="21"/>
                <w:lang w:val="en-US" w:eastAsia="zh-CN"/>
              </w:rPr>
              <w:t>266.05</w:t>
            </w:r>
          </w:p>
        </w:tc>
        <w:tc>
          <w:tcPr>
            <w:tcW w:w="1906" w:type="dxa"/>
            <w:tcBorders>
              <w:top w:val="nil"/>
              <w:left w:val="nil"/>
              <w:bottom w:val="single" w:color="000000" w:sz="8" w:space="0"/>
              <w:right w:val="single" w:color="000000" w:sz="8" w:space="0"/>
            </w:tcBorders>
            <w:shd w:val="clear" w:color="000000" w:fill="FFFFFF"/>
            <w:vAlign w:val="center"/>
          </w:tcPr>
          <w:p>
            <w:pPr>
              <w:widowControl/>
              <w:spacing w:line="240" w:lineRule="exact"/>
              <w:jc w:val="right"/>
              <w:rPr>
                <w:rFonts w:hint="default" w:ascii="仿宋_GB2312" w:hAnsi="仿宋" w:eastAsia="仿宋_GB2312"/>
                <w:b/>
                <w:bCs/>
                <w:color w:val="000000"/>
                <w:kern w:val="0"/>
                <w:sz w:val="21"/>
                <w:szCs w:val="21"/>
                <w:lang w:val="en-US"/>
              </w:rPr>
            </w:pPr>
            <w:r>
              <w:rPr>
                <w:rFonts w:hint="eastAsia" w:ascii="仿宋_GB2312" w:hAnsi="仿宋" w:eastAsia="仿宋_GB2312"/>
                <w:b/>
                <w:bCs/>
                <w:color w:val="000000"/>
                <w:kern w:val="0"/>
                <w:sz w:val="21"/>
                <w:szCs w:val="21"/>
                <w:lang w:val="en-US" w:eastAsia="zh-CN"/>
              </w:rPr>
              <w:t>266.05</w:t>
            </w:r>
          </w:p>
        </w:tc>
        <w:tc>
          <w:tcPr>
            <w:tcW w:w="690" w:type="pct"/>
            <w:tcBorders>
              <w:top w:val="nil"/>
              <w:left w:val="nil"/>
              <w:bottom w:val="single" w:color="000000" w:sz="8" w:space="0"/>
              <w:right w:val="single" w:color="000000" w:sz="8" w:space="0"/>
            </w:tcBorders>
            <w:shd w:val="clear" w:color="000000" w:fill="FFFFFF"/>
            <w:vAlign w:val="center"/>
          </w:tcPr>
          <w:p>
            <w:pPr>
              <w:widowControl/>
              <w:spacing w:line="240" w:lineRule="exact"/>
              <w:jc w:val="left"/>
              <w:rPr>
                <w:rFonts w:ascii="仿宋_GB2312" w:hAnsi="仿宋" w:eastAsia="仿宋_GB2312"/>
                <w:b/>
                <w:bCs/>
                <w:color w:val="000000"/>
                <w:kern w:val="0"/>
                <w:sz w:val="21"/>
                <w:szCs w:val="21"/>
              </w:rPr>
            </w:pPr>
          </w:p>
        </w:tc>
      </w:tr>
    </w:tbl>
    <w:p>
      <w:pPr>
        <w:spacing w:line="560" w:lineRule="exact"/>
        <w:ind w:firstLine="643" w:firstLineChars="200"/>
        <w:outlineLvl w:val="2"/>
        <w:rPr>
          <w:rFonts w:hint="eastAsia" w:ascii="楷体" w:hAnsi="楷体" w:eastAsia="楷体" w:cs="楷体"/>
          <w:b/>
          <w:bCs/>
          <w:szCs w:val="32"/>
        </w:rPr>
      </w:pPr>
      <w:r>
        <w:rPr>
          <w:rFonts w:hint="eastAsia" w:ascii="楷体" w:hAnsi="楷体" w:eastAsia="楷体" w:cs="楷体"/>
          <w:b/>
          <w:bCs/>
          <w:szCs w:val="32"/>
        </w:rPr>
        <w:t>2</w:t>
      </w:r>
      <w:r>
        <w:rPr>
          <w:rFonts w:hint="eastAsia" w:ascii="楷体" w:hAnsi="楷体" w:eastAsia="楷体" w:cs="楷体"/>
          <w:b/>
          <w:bCs/>
          <w:szCs w:val="32"/>
          <w:lang w:eastAsia="zh-CN"/>
        </w:rPr>
        <w:t>、</w:t>
      </w:r>
      <w:r>
        <w:rPr>
          <w:rFonts w:hint="eastAsia" w:ascii="楷体" w:hAnsi="楷体" w:eastAsia="楷体" w:cs="楷体"/>
          <w:b/>
          <w:bCs/>
          <w:szCs w:val="32"/>
          <w:lang w:val="en-US" w:eastAsia="zh-CN"/>
        </w:rPr>
        <w:t>部门</w:t>
      </w:r>
      <w:r>
        <w:rPr>
          <w:rFonts w:hint="eastAsia" w:ascii="楷体" w:hAnsi="楷体" w:eastAsia="楷体" w:cs="楷体"/>
          <w:b/>
          <w:bCs/>
          <w:szCs w:val="32"/>
        </w:rPr>
        <w:t>整体支出使用方向和主要内容、涉及范围</w:t>
      </w:r>
    </w:p>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Times New Roman" w:hAnsi="Times New Roman" w:eastAsia="仿宋_GB2312" w:cs="Times New Roman"/>
          <w:szCs w:val="32"/>
        </w:rPr>
      </w:pPr>
      <w:r>
        <w:rPr>
          <w:rFonts w:hint="eastAsia" w:ascii="Times New Roman" w:hAnsi="Times New Roman" w:eastAsia="仿宋_GB2312" w:cs="Times New Roman"/>
          <w:szCs w:val="32"/>
        </w:rPr>
        <w:t>部门整体支出包括基本支出和项目支出。一是用于单位机构正常运转、完成日常工作任务而发生的各项支出，包括用于基本工资、津贴补贴等人员经费以及办公费、印刷费、公务用车运行维护费</w:t>
      </w:r>
      <w:r>
        <w:rPr>
          <w:rFonts w:hint="eastAsia" w:ascii="Times New Roman" w:hAnsi="Times New Roman" w:eastAsia="仿宋_GB2312" w:cs="Times New Roman"/>
          <w:szCs w:val="32"/>
          <w:lang w:eastAsia="zh-CN"/>
        </w:rPr>
        <w:t>、其他交通费用</w:t>
      </w:r>
      <w:r>
        <w:rPr>
          <w:rFonts w:hint="eastAsia" w:ascii="Times New Roman" w:hAnsi="Times New Roman" w:eastAsia="仿宋_GB2312" w:cs="Times New Roman"/>
          <w:szCs w:val="32"/>
        </w:rPr>
        <w:t>等日常公用经费。二是用于单位为完成特定工作任务而发生的支出，包括青少年发展专项经费</w:t>
      </w:r>
      <w:r>
        <w:rPr>
          <w:rFonts w:hint="eastAsia" w:ascii="Times New Roman" w:hAnsi="Times New Roman" w:eastAsia="仿宋_GB2312" w:cs="Times New Roman"/>
          <w:szCs w:val="32"/>
          <w:lang w:eastAsia="zh-CN"/>
        </w:rPr>
        <w:t>、少先队工作经费</w:t>
      </w:r>
      <w:r>
        <w:rPr>
          <w:rFonts w:hint="eastAsia" w:ascii="Times New Roman" w:hAnsi="Times New Roman" w:eastAsia="仿宋_GB2312" w:cs="Times New Roman"/>
          <w:szCs w:val="32"/>
          <w:lang w:val="en-US" w:eastAsia="zh-CN"/>
        </w:rPr>
        <w:t>、五四活动经费、预防青少年违法犯罪工作经费、志愿者工作经费等5个专项经费</w:t>
      </w:r>
      <w:r>
        <w:rPr>
          <w:rFonts w:hint="eastAsia" w:ascii="Times New Roman" w:hAnsi="Times New Roman" w:eastAsia="仿宋_GB2312" w:cs="Times New Roman"/>
          <w:szCs w:val="32"/>
        </w:rPr>
        <w:t>。</w:t>
      </w:r>
    </w:p>
    <w:p>
      <w:pPr>
        <w:numPr>
          <w:ilvl w:val="255"/>
          <w:numId w:val="0"/>
        </w:numPr>
        <w:spacing w:before="144" w:beforeLines="25" w:line="560" w:lineRule="exact"/>
        <w:ind w:firstLine="643" w:firstLineChars="200"/>
        <w:outlineLvl w:val="0"/>
        <w:rPr>
          <w:rFonts w:hint="default" w:ascii="楷体" w:hAnsi="楷体" w:eastAsia="楷体" w:cs="楷体"/>
          <w:b/>
          <w:bCs/>
          <w:szCs w:val="32"/>
          <w:lang w:val="en-US" w:eastAsia="zh-CN"/>
        </w:rPr>
      </w:pPr>
      <w:r>
        <w:rPr>
          <w:rFonts w:hint="eastAsia" w:ascii="楷体" w:hAnsi="楷体" w:eastAsia="楷体" w:cs="楷体"/>
          <w:b/>
          <w:bCs/>
          <w:szCs w:val="32"/>
        </w:rPr>
        <w:t>二、</w:t>
      </w:r>
      <w:r>
        <w:rPr>
          <w:rFonts w:hint="eastAsia" w:ascii="楷体" w:hAnsi="楷体" w:eastAsia="楷体" w:cs="楷体"/>
          <w:b/>
          <w:bCs/>
          <w:szCs w:val="32"/>
          <w:lang w:val="en-US" w:eastAsia="zh-CN"/>
        </w:rPr>
        <w:t>部门整体支出资金管理及使用情况</w:t>
      </w:r>
    </w:p>
    <w:p>
      <w:p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rPr>
        <w:t>（一）基本支出</w:t>
      </w:r>
    </w:p>
    <w:p>
      <w:pPr>
        <w:spacing w:line="560" w:lineRule="exact"/>
        <w:ind w:firstLine="643" w:firstLineChars="200"/>
        <w:outlineLvl w:val="2"/>
        <w:rPr>
          <w:rFonts w:ascii="楷体" w:hAnsi="楷体" w:eastAsia="楷体" w:cs="楷体"/>
          <w:b/>
          <w:bCs/>
          <w:szCs w:val="32"/>
        </w:rPr>
      </w:pPr>
      <w:r>
        <w:rPr>
          <w:rFonts w:hint="eastAsia" w:ascii="楷体" w:hAnsi="楷体" w:eastAsia="楷体" w:cs="楷体"/>
          <w:b/>
          <w:bCs/>
          <w:szCs w:val="32"/>
        </w:rPr>
        <w:t>1、实际整体收支情况</w:t>
      </w:r>
    </w:p>
    <w:p>
      <w:pPr>
        <w:spacing w:line="560" w:lineRule="exact"/>
        <w:ind w:firstLine="640" w:firstLineChars="200"/>
        <w:rPr>
          <w:rFonts w:ascii="Times New Roman" w:hAnsi="Times New Roman" w:eastAsia="仿宋_GB2312" w:cs="Times New Roman"/>
          <w:szCs w:val="32"/>
        </w:rPr>
      </w:pPr>
      <w:bookmarkStart w:id="2" w:name="_Hlk79155693"/>
      <w:r>
        <w:rPr>
          <w:rFonts w:hint="eastAsia" w:ascii="Times New Roman" w:hAnsi="Times New Roman" w:eastAsia="仿宋_GB2312" w:cs="Times New Roman"/>
          <w:szCs w:val="32"/>
        </w:rPr>
        <w:t>基本支出是指为保障单位机构运转、完成日常工作任务而发生的各项支出，包括职工基本工资、津补贴、社会保障缴费、离退休费等人员经费以及办公费、水电费、办公设备购置费等日常公用经费。2022年</w:t>
      </w:r>
      <w:r>
        <w:rPr>
          <w:rFonts w:hint="eastAsia" w:ascii="Times New Roman" w:hAnsi="Times New Roman" w:eastAsia="仿宋_GB2312" w:cs="Times New Roman"/>
          <w:szCs w:val="32"/>
          <w:lang w:val="en-US" w:eastAsia="zh-CN"/>
        </w:rPr>
        <w:t>团市委基本</w:t>
      </w:r>
      <w:r>
        <w:rPr>
          <w:rFonts w:ascii="Times New Roman" w:hAnsi="Times New Roman" w:eastAsia="仿宋_GB2312" w:cs="Times New Roman"/>
          <w:szCs w:val="32"/>
        </w:rPr>
        <w:t>支出</w:t>
      </w:r>
      <w:r>
        <w:rPr>
          <w:rFonts w:hint="eastAsia" w:ascii="Times New Roman" w:hAnsi="Times New Roman" w:eastAsia="仿宋_GB2312" w:cs="Times New Roman"/>
          <w:szCs w:val="32"/>
          <w:lang w:val="en-US" w:eastAsia="zh-CN"/>
        </w:rPr>
        <w:t>148.95</w:t>
      </w:r>
      <w:r>
        <w:rPr>
          <w:rFonts w:hint="eastAsia" w:ascii="Times New Roman" w:hAnsi="Times New Roman" w:eastAsia="仿宋_GB2312" w:cs="Times New Roman"/>
          <w:szCs w:val="32"/>
        </w:rPr>
        <w:t>万元</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其中</w:t>
      </w:r>
      <w:r>
        <w:rPr>
          <w:rFonts w:hint="eastAsia" w:ascii="Times New Roman" w:hAnsi="Times New Roman" w:eastAsia="仿宋_GB2312" w:cs="Times New Roman"/>
          <w:szCs w:val="32"/>
        </w:rPr>
        <w:t>：人员经费支出</w:t>
      </w:r>
      <w:r>
        <w:rPr>
          <w:rFonts w:hint="eastAsia" w:ascii="Times New Roman" w:hAnsi="Times New Roman" w:eastAsia="仿宋_GB2312" w:cs="Times New Roman"/>
          <w:szCs w:val="32"/>
          <w:lang w:val="en-US" w:eastAsia="zh-CN"/>
        </w:rPr>
        <w:t>133.25</w:t>
      </w:r>
      <w:r>
        <w:rPr>
          <w:rFonts w:hint="eastAsia" w:ascii="Times New Roman" w:hAnsi="Times New Roman" w:eastAsia="仿宋_GB2312" w:cs="Times New Roman"/>
          <w:szCs w:val="32"/>
        </w:rPr>
        <w:t>万元，日常公用经费支出</w:t>
      </w:r>
      <w:r>
        <w:rPr>
          <w:rFonts w:hint="eastAsia" w:ascii="Times New Roman" w:hAnsi="Times New Roman" w:eastAsia="仿宋_GB2312" w:cs="Times New Roman"/>
          <w:szCs w:val="32"/>
          <w:lang w:val="en-US" w:eastAsia="zh-CN"/>
        </w:rPr>
        <w:t>15.70</w:t>
      </w:r>
      <w:r>
        <w:rPr>
          <w:rFonts w:hint="eastAsia" w:ascii="Times New Roman" w:hAnsi="Times New Roman" w:eastAsia="仿宋_GB2312" w:cs="Times New Roman"/>
          <w:szCs w:val="32"/>
        </w:rPr>
        <w:t>万元。明细见下</w:t>
      </w:r>
      <w:r>
        <w:rPr>
          <w:rFonts w:ascii="Times New Roman" w:hAnsi="Times New Roman" w:eastAsia="仿宋_GB2312" w:cs="Times New Roman"/>
          <w:szCs w:val="32"/>
        </w:rPr>
        <w:t>表：</w:t>
      </w:r>
    </w:p>
    <w:p>
      <w:pPr>
        <w:spacing w:line="360" w:lineRule="exact"/>
        <w:jc w:val="right"/>
        <w:rPr>
          <w:rFonts w:ascii="Times New Roman" w:hAnsi="Times New Roman" w:cs="Times New Roman"/>
          <w:kern w:val="0"/>
          <w:sz w:val="20"/>
          <w:szCs w:val="20"/>
        </w:rPr>
      </w:pPr>
      <w:r>
        <w:rPr>
          <w:rFonts w:ascii="Times New Roman" w:hAnsi="Times New Roman" w:cs="Times New Roman"/>
          <w:kern w:val="0"/>
          <w:sz w:val="20"/>
          <w:szCs w:val="20"/>
        </w:rPr>
        <w:t>金额单位：万元</w:t>
      </w:r>
    </w:p>
    <w:bookmarkEnd w:id="2"/>
    <w:tbl>
      <w:tblPr>
        <w:tblStyle w:val="14"/>
        <w:tblW w:w="4937" w:type="pct"/>
        <w:tblInd w:w="-34" w:type="dxa"/>
        <w:tblLayout w:type="fixed"/>
        <w:tblCellMar>
          <w:top w:w="0" w:type="dxa"/>
          <w:left w:w="108" w:type="dxa"/>
          <w:bottom w:w="0" w:type="dxa"/>
          <w:right w:w="108" w:type="dxa"/>
        </w:tblCellMar>
      </w:tblPr>
      <w:tblGrid>
        <w:gridCol w:w="2999"/>
        <w:gridCol w:w="1566"/>
        <w:gridCol w:w="1325"/>
        <w:gridCol w:w="1250"/>
        <w:gridCol w:w="1275"/>
      </w:tblGrid>
      <w:tr>
        <w:tblPrEx>
          <w:tblCellMar>
            <w:top w:w="0" w:type="dxa"/>
            <w:left w:w="108" w:type="dxa"/>
            <w:bottom w:w="0" w:type="dxa"/>
            <w:right w:w="108" w:type="dxa"/>
          </w:tblCellMar>
        </w:tblPrEx>
        <w:trPr>
          <w:trHeight w:val="492" w:hRule="atLeast"/>
          <w:tblHeader/>
        </w:trPr>
        <w:tc>
          <w:tcPr>
            <w:tcW w:w="1781" w:type="pct"/>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仿宋_GB2312" w:hAnsi="等线" w:eastAsia="仿宋_GB2312" w:cs="宋体"/>
                <w:b/>
                <w:bCs/>
                <w:color w:val="000000"/>
                <w:kern w:val="0"/>
                <w:sz w:val="21"/>
                <w:szCs w:val="21"/>
              </w:rPr>
            </w:pPr>
            <w:bookmarkStart w:id="3" w:name="_Toc17897"/>
            <w:r>
              <w:rPr>
                <w:rFonts w:hint="eastAsia" w:ascii="仿宋_GB2312" w:hAnsi="等线" w:eastAsia="仿宋_GB2312" w:cs="宋体"/>
                <w:b/>
                <w:bCs/>
                <w:color w:val="000000"/>
                <w:kern w:val="0"/>
                <w:sz w:val="21"/>
                <w:szCs w:val="21"/>
              </w:rPr>
              <w:t>项目名称</w:t>
            </w:r>
          </w:p>
        </w:tc>
        <w:tc>
          <w:tcPr>
            <w:tcW w:w="93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等线" w:eastAsia="仿宋_GB2312" w:cs="宋体"/>
                <w:b/>
                <w:bCs/>
                <w:color w:val="000000"/>
                <w:kern w:val="0"/>
                <w:sz w:val="21"/>
                <w:szCs w:val="21"/>
              </w:rPr>
            </w:pPr>
            <w:r>
              <w:rPr>
                <w:rFonts w:hint="eastAsia" w:ascii="仿宋_GB2312" w:hAnsi="等线" w:eastAsia="仿宋_GB2312" w:cs="宋体"/>
                <w:b/>
                <w:bCs/>
                <w:color w:val="000000"/>
                <w:kern w:val="0"/>
                <w:sz w:val="21"/>
                <w:szCs w:val="21"/>
                <w:lang w:val="en-US" w:eastAsia="zh-CN"/>
              </w:rPr>
              <w:t>2022</w:t>
            </w:r>
            <w:r>
              <w:rPr>
                <w:rFonts w:hint="eastAsia" w:ascii="仿宋_GB2312" w:hAnsi="等线" w:eastAsia="仿宋_GB2312" w:cs="宋体"/>
                <w:b/>
                <w:bCs/>
                <w:color w:val="000000"/>
                <w:kern w:val="0"/>
                <w:sz w:val="21"/>
                <w:szCs w:val="21"/>
              </w:rPr>
              <w:t>年预算</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仿宋_GB2312" w:hAnsi="等线" w:eastAsia="仿宋_GB2312" w:cs="宋体"/>
                <w:b/>
                <w:bCs/>
                <w:color w:val="000000"/>
                <w:kern w:val="0"/>
                <w:sz w:val="21"/>
                <w:szCs w:val="21"/>
                <w:lang w:val="en-US" w:eastAsia="zh-CN" w:bidi="ar-SA"/>
              </w:rPr>
            </w:pPr>
            <w:r>
              <w:rPr>
                <w:rFonts w:hint="eastAsia" w:ascii="仿宋_GB2312" w:hAnsi="等线" w:eastAsia="仿宋_GB2312" w:cs="宋体"/>
                <w:b/>
                <w:bCs/>
                <w:color w:val="000000"/>
                <w:kern w:val="0"/>
                <w:sz w:val="21"/>
                <w:szCs w:val="21"/>
              </w:rPr>
              <w:t>2022年</w:t>
            </w:r>
            <w:r>
              <w:rPr>
                <w:rFonts w:hint="eastAsia" w:ascii="仿宋_GB2312" w:hAnsi="等线" w:eastAsia="仿宋_GB2312" w:cs="宋体"/>
                <w:b/>
                <w:bCs/>
                <w:color w:val="000000"/>
                <w:kern w:val="0"/>
                <w:sz w:val="21"/>
                <w:szCs w:val="21"/>
                <w:lang w:val="en-US" w:eastAsia="zh-CN"/>
              </w:rPr>
              <w:t>决算</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default" w:ascii="仿宋_GB2312" w:hAnsi="等线" w:eastAsia="仿宋_GB2312" w:cs="宋体"/>
                <w:b/>
                <w:bCs/>
                <w:color w:val="000000"/>
                <w:kern w:val="0"/>
                <w:sz w:val="21"/>
                <w:szCs w:val="21"/>
                <w:lang w:val="en-US" w:eastAsia="zh-CN"/>
              </w:rPr>
            </w:pPr>
            <w:r>
              <w:rPr>
                <w:rFonts w:hint="eastAsia" w:ascii="仿宋_GB2312" w:hAnsi="等线" w:eastAsia="仿宋_GB2312" w:cs="宋体"/>
                <w:b/>
                <w:bCs/>
                <w:color w:val="000000"/>
                <w:kern w:val="0"/>
                <w:sz w:val="21"/>
                <w:szCs w:val="21"/>
                <w:lang w:val="en-US" w:eastAsia="zh-CN"/>
              </w:rPr>
              <w:t>执行率</w:t>
            </w:r>
          </w:p>
        </w:tc>
        <w:tc>
          <w:tcPr>
            <w:tcW w:w="757" w:type="pct"/>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仿宋_GB2312" w:hAnsi="等线" w:eastAsia="仿宋_GB2312" w:cs="宋体"/>
                <w:b/>
                <w:bCs/>
                <w:color w:val="000000"/>
                <w:kern w:val="0"/>
                <w:sz w:val="21"/>
                <w:szCs w:val="21"/>
              </w:rPr>
            </w:pPr>
            <w:r>
              <w:rPr>
                <w:rFonts w:hint="eastAsia" w:ascii="仿宋_GB2312" w:hAnsi="等线" w:eastAsia="仿宋_GB2312" w:cs="宋体"/>
                <w:b/>
                <w:bCs/>
                <w:color w:val="000000"/>
                <w:kern w:val="0"/>
                <w:sz w:val="21"/>
                <w:szCs w:val="21"/>
              </w:rPr>
              <w:t>备注</w:t>
            </w: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exact"/>
              <w:jc w:val="left"/>
              <w:rPr>
                <w:rFonts w:hint="eastAsia" w:ascii="仿宋_GB2312" w:hAnsi="Times New Roman" w:eastAsia="仿宋_GB2312" w:cs="Times New Roman"/>
                <w:b/>
                <w:bCs/>
                <w:kern w:val="0"/>
                <w:sz w:val="20"/>
                <w:szCs w:val="20"/>
                <w:lang w:val="en-US" w:eastAsia="zh-CN"/>
              </w:rPr>
            </w:pPr>
            <w:r>
              <w:rPr>
                <w:rFonts w:hint="eastAsia" w:ascii="仿宋_GB2312" w:hAnsi="Times New Roman" w:eastAsia="仿宋_GB2312" w:cs="Times New Roman"/>
                <w:b/>
                <w:bCs/>
                <w:kern w:val="0"/>
                <w:sz w:val="20"/>
                <w:szCs w:val="20"/>
                <w:lang w:val="en-US" w:eastAsia="zh-CN"/>
              </w:rPr>
              <w:t>一、工资福利支出</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 xml:space="preserve">114.90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 xml:space="preserve">133.25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115.97%</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b/>
                <w:bCs/>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基本工资</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23.69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26.75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112.92%</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津贴补贴</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15.97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16.47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103.14%</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奖金</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47.09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59.82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127.02%</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绩效工资</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8.57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7.19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83.93%</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机关事业单位基本养老保险缴费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7.93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8.35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105.29%</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职业年金缴费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2.16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#DIV/0!</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职工基本医疗保险缴费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3.97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4.41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111.20%</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公务员医疗补助缴费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1.49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1.49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其他社会保障缴费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0.48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0.60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住房公积金</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5.71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5.71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100.00%</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其他工资福利支出</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0.30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cs="仿宋"/>
                <w:i w:val="0"/>
                <w:iCs w:val="0"/>
                <w:color w:val="000000"/>
                <w:kern w:val="0"/>
                <w:sz w:val="18"/>
                <w:szCs w:val="18"/>
                <w:u w:val="none"/>
                <w:lang w:val="en-US" w:eastAsia="zh-CN" w:bidi="ar"/>
              </w:rPr>
              <w:t>-</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left"/>
              <w:rPr>
                <w:rFonts w:hint="eastAsia" w:ascii="仿宋_GB2312" w:hAnsi="Times New Roman" w:eastAsia="仿宋_GB2312" w:cs="Times New Roman"/>
                <w:b/>
                <w:bCs/>
                <w:kern w:val="0"/>
                <w:sz w:val="20"/>
                <w:szCs w:val="20"/>
                <w:lang w:val="en-US" w:eastAsia="zh-CN"/>
              </w:rPr>
            </w:pPr>
            <w:r>
              <w:rPr>
                <w:rFonts w:hint="eastAsia" w:ascii="仿宋_GB2312" w:hAnsi="Times New Roman" w:eastAsia="仿宋_GB2312" w:cs="Times New Roman"/>
                <w:b/>
                <w:bCs/>
                <w:kern w:val="0"/>
                <w:sz w:val="20"/>
                <w:szCs w:val="20"/>
                <w:lang w:val="en-US" w:eastAsia="zh-CN"/>
              </w:rPr>
              <w:t>二、商品和服务支出</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1</w:t>
            </w:r>
            <w:r>
              <w:rPr>
                <w:rFonts w:hint="eastAsia" w:ascii="仿宋" w:hAnsi="仿宋" w:cs="仿宋"/>
                <w:b/>
                <w:bCs/>
                <w:i w:val="0"/>
                <w:iCs w:val="0"/>
                <w:color w:val="000000"/>
                <w:kern w:val="0"/>
                <w:sz w:val="18"/>
                <w:szCs w:val="18"/>
                <w:u w:val="none"/>
                <w:lang w:val="en-US" w:eastAsia="zh-CN" w:bidi="ar"/>
              </w:rPr>
              <w:t>6.00</w:t>
            </w:r>
            <w:r>
              <w:rPr>
                <w:rFonts w:hint="eastAsia" w:ascii="仿宋" w:hAnsi="仿宋" w:eastAsia="仿宋" w:cs="仿宋"/>
                <w:b/>
                <w:bCs/>
                <w:i w:val="0"/>
                <w:iCs w:val="0"/>
                <w:color w:val="000000"/>
                <w:kern w:val="0"/>
                <w:sz w:val="18"/>
                <w:szCs w:val="18"/>
                <w:u w:val="none"/>
                <w:lang w:val="en-US" w:eastAsia="zh-CN" w:bidi="ar"/>
              </w:rPr>
              <w:t xml:space="preserve">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15.</w:t>
            </w:r>
            <w:r>
              <w:rPr>
                <w:rFonts w:hint="eastAsia" w:ascii="仿宋" w:hAnsi="仿宋" w:cs="仿宋"/>
                <w:b/>
                <w:bCs/>
                <w:i w:val="0"/>
                <w:iCs w:val="0"/>
                <w:color w:val="000000"/>
                <w:kern w:val="0"/>
                <w:sz w:val="18"/>
                <w:szCs w:val="18"/>
                <w:u w:val="none"/>
                <w:lang w:val="en-US" w:eastAsia="zh-CN" w:bidi="ar"/>
              </w:rPr>
              <w:t>70</w:t>
            </w:r>
            <w:r>
              <w:rPr>
                <w:rFonts w:hint="eastAsia" w:ascii="仿宋" w:hAnsi="仿宋" w:eastAsia="仿宋" w:cs="仿宋"/>
                <w:b/>
                <w:bCs/>
                <w:i w:val="0"/>
                <w:iCs w:val="0"/>
                <w:color w:val="000000"/>
                <w:kern w:val="0"/>
                <w:sz w:val="18"/>
                <w:szCs w:val="18"/>
                <w:u w:val="none"/>
                <w:lang w:val="en-US" w:eastAsia="zh-CN" w:bidi="ar"/>
              </w:rPr>
              <w:t xml:space="preserve">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98.12%</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6"/>
              <w:rPr>
                <w:b/>
                <w:bCs/>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办公费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1.00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1.00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100.00%</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6"/>
              <w:rPr>
                <w:b/>
                <w:bCs/>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工会经费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0.3</w:t>
            </w:r>
            <w:r>
              <w:rPr>
                <w:rFonts w:hint="eastAsia" w:ascii="仿宋" w:hAnsi="仿宋" w:cs="仿宋"/>
                <w:i w:val="0"/>
                <w:iCs w:val="0"/>
                <w:color w:val="000000"/>
                <w:kern w:val="0"/>
                <w:sz w:val="18"/>
                <w:szCs w:val="18"/>
                <w:u w:val="none"/>
                <w:lang w:val="en-US" w:eastAsia="zh-CN" w:bidi="ar"/>
              </w:rPr>
              <w:t>8</w:t>
            </w:r>
            <w:r>
              <w:rPr>
                <w:rFonts w:hint="eastAsia" w:ascii="仿宋" w:hAnsi="仿宋" w:eastAsia="仿宋" w:cs="仿宋"/>
                <w:i w:val="0"/>
                <w:iCs w:val="0"/>
                <w:color w:val="000000"/>
                <w:kern w:val="0"/>
                <w:sz w:val="18"/>
                <w:szCs w:val="18"/>
                <w:u w:val="none"/>
                <w:lang w:val="en-US" w:eastAsia="zh-CN" w:bidi="ar"/>
              </w:rPr>
              <w:t xml:space="preserve">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0.3</w:t>
            </w:r>
            <w:r>
              <w:rPr>
                <w:rFonts w:hint="eastAsia" w:ascii="仿宋" w:hAnsi="仿宋" w:cs="仿宋"/>
                <w:i w:val="0"/>
                <w:iCs w:val="0"/>
                <w:color w:val="000000"/>
                <w:kern w:val="0"/>
                <w:sz w:val="18"/>
                <w:szCs w:val="18"/>
                <w:u w:val="none"/>
                <w:lang w:val="en-US" w:eastAsia="zh-CN" w:bidi="ar"/>
              </w:rPr>
              <w:t>8</w:t>
            </w:r>
            <w:r>
              <w:rPr>
                <w:rFonts w:hint="eastAsia" w:ascii="仿宋" w:hAnsi="仿宋" w:eastAsia="仿宋" w:cs="仿宋"/>
                <w:i w:val="0"/>
                <w:iCs w:val="0"/>
                <w:color w:val="000000"/>
                <w:kern w:val="0"/>
                <w:sz w:val="18"/>
                <w:szCs w:val="18"/>
                <w:u w:val="none"/>
                <w:lang w:val="en-US" w:eastAsia="zh-CN" w:bidi="ar"/>
              </w:rPr>
              <w:t xml:space="preserve">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100.00%</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6"/>
              <w:rPr>
                <w:b/>
                <w:bCs/>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福利费</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0.47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0.47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100.00%</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6"/>
              <w:rPr>
                <w:b/>
                <w:bCs/>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其他交通费用</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0.47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0.47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100.00%</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6"/>
              <w:rPr>
                <w:b/>
                <w:bCs/>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其他商品和服务支出</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13.68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13.38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97.81%</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6"/>
              <w:rPr>
                <w:b/>
                <w:bCs/>
              </w:rPr>
            </w:pPr>
          </w:p>
        </w:tc>
      </w:tr>
      <w:tr>
        <w:tblPrEx>
          <w:tblCellMar>
            <w:top w:w="0" w:type="dxa"/>
            <w:left w:w="108" w:type="dxa"/>
            <w:bottom w:w="0" w:type="dxa"/>
            <w:right w:w="108" w:type="dxa"/>
          </w:tblCellMar>
        </w:tblPrEx>
        <w:trPr>
          <w:trHeight w:val="454" w:hRule="exact"/>
        </w:trPr>
        <w:tc>
          <w:tcPr>
            <w:tcW w:w="178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hint="default" w:ascii="仿宋_GB2312" w:hAnsi="Times New Roman" w:eastAsia="仿宋_GB2312" w:cs="Times New Roman"/>
                <w:kern w:val="0"/>
                <w:sz w:val="20"/>
                <w:szCs w:val="20"/>
                <w:lang w:val="en-US" w:eastAsia="zh-CN"/>
              </w:rPr>
            </w:pPr>
            <w:r>
              <w:rPr>
                <w:rFonts w:hint="eastAsia" w:ascii="仿宋_GB2312" w:hAnsi="Times New Roman" w:eastAsia="仿宋_GB2312" w:cs="Times New Roman"/>
                <w:b/>
                <w:bCs/>
                <w:kern w:val="0"/>
                <w:sz w:val="20"/>
                <w:szCs w:val="20"/>
                <w:lang w:val="en-US" w:eastAsia="zh-CN"/>
              </w:rPr>
              <w:t>合计</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130.</w:t>
            </w:r>
            <w:r>
              <w:rPr>
                <w:rFonts w:hint="eastAsia" w:ascii="仿宋" w:hAnsi="仿宋" w:cs="仿宋"/>
                <w:b/>
                <w:bCs/>
                <w:i w:val="0"/>
                <w:iCs w:val="0"/>
                <w:color w:val="000000"/>
                <w:kern w:val="0"/>
                <w:sz w:val="18"/>
                <w:szCs w:val="18"/>
                <w:u w:val="none"/>
                <w:lang w:val="en-US" w:eastAsia="zh-CN" w:bidi="ar"/>
              </w:rPr>
              <w:t>90</w:t>
            </w:r>
            <w:r>
              <w:rPr>
                <w:rFonts w:hint="eastAsia" w:ascii="仿宋" w:hAnsi="仿宋" w:eastAsia="仿宋" w:cs="仿宋"/>
                <w:b/>
                <w:bCs/>
                <w:i w:val="0"/>
                <w:iCs w:val="0"/>
                <w:color w:val="000000"/>
                <w:kern w:val="0"/>
                <w:sz w:val="18"/>
                <w:szCs w:val="18"/>
                <w:u w:val="none"/>
                <w:lang w:val="en-US" w:eastAsia="zh-CN" w:bidi="ar"/>
              </w:rPr>
              <w:t xml:space="preserve"> </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148.9</w:t>
            </w:r>
            <w:r>
              <w:rPr>
                <w:rFonts w:hint="eastAsia" w:ascii="仿宋" w:hAnsi="仿宋" w:cs="仿宋"/>
                <w:b/>
                <w:bCs/>
                <w:i w:val="0"/>
                <w:iCs w:val="0"/>
                <w:color w:val="000000"/>
                <w:kern w:val="0"/>
                <w:sz w:val="18"/>
                <w:szCs w:val="18"/>
                <w:u w:val="none"/>
                <w:lang w:val="en-US" w:eastAsia="zh-CN" w:bidi="ar"/>
              </w:rPr>
              <w:t>5</w:t>
            </w:r>
            <w:r>
              <w:rPr>
                <w:rFonts w:hint="eastAsia" w:ascii="仿宋" w:hAnsi="仿宋" w:eastAsia="仿宋" w:cs="仿宋"/>
                <w:b/>
                <w:bCs/>
                <w:i w:val="0"/>
                <w:iCs w:val="0"/>
                <w:color w:val="000000"/>
                <w:kern w:val="0"/>
                <w:sz w:val="18"/>
                <w:szCs w:val="18"/>
                <w:u w:val="none"/>
                <w:lang w:val="en-US" w:eastAsia="zh-CN" w:bidi="ar"/>
              </w:rPr>
              <w:t xml:space="preserve">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仿宋"/>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113.79%</w:t>
            </w:r>
          </w:p>
        </w:tc>
        <w:tc>
          <w:tcPr>
            <w:tcW w:w="757"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6"/>
              <w:rPr>
                <w:b/>
                <w:bCs/>
              </w:rPr>
            </w:pPr>
          </w:p>
        </w:tc>
      </w:tr>
    </w:tbl>
    <w:p>
      <w:pPr>
        <w:spacing w:line="560" w:lineRule="exact"/>
        <w:ind w:firstLine="643" w:firstLineChars="200"/>
        <w:outlineLvl w:val="2"/>
        <w:rPr>
          <w:rFonts w:ascii="楷体" w:hAnsi="楷体" w:eastAsia="楷体" w:cs="楷体"/>
          <w:b/>
          <w:bCs/>
          <w:szCs w:val="32"/>
        </w:rPr>
      </w:pPr>
      <w:r>
        <w:rPr>
          <w:rFonts w:hint="eastAsia" w:ascii="楷体" w:hAnsi="楷体" w:eastAsia="楷体" w:cs="楷体"/>
          <w:b/>
          <w:bCs/>
          <w:szCs w:val="32"/>
        </w:rPr>
        <w:t>2、“三公”经费总支出情况</w:t>
      </w:r>
    </w:p>
    <w:p>
      <w:pPr>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2022年将“三公”经费严格纳入预算管理，按财务管理制度和审核程序严格审批报销，严控“三公”经费支出规模。2022年“三公”经费预算</w:t>
      </w:r>
      <w:r>
        <w:rPr>
          <w:rFonts w:hint="eastAsia" w:ascii="Times New Roman" w:hAnsi="Times New Roman" w:eastAsia="仿宋_GB2312" w:cs="Times New Roman"/>
          <w:szCs w:val="32"/>
          <w:lang w:val="en-US" w:eastAsia="zh-CN"/>
        </w:rPr>
        <w:t>2</w:t>
      </w:r>
      <w:r>
        <w:rPr>
          <w:rFonts w:hint="eastAsia" w:ascii="Times New Roman" w:hAnsi="Times New Roman" w:eastAsia="仿宋_GB2312" w:cs="Times New Roman"/>
          <w:szCs w:val="32"/>
        </w:rPr>
        <w:t>万元，实际支出</w:t>
      </w:r>
      <w:r>
        <w:rPr>
          <w:rFonts w:hint="eastAsia" w:ascii="Times New Roman" w:hAnsi="Times New Roman" w:eastAsia="仿宋_GB2312" w:cs="Times New Roman"/>
          <w:szCs w:val="32"/>
          <w:lang w:val="en-US" w:eastAsia="zh-CN"/>
        </w:rPr>
        <w:t>0.07</w:t>
      </w:r>
      <w:r>
        <w:rPr>
          <w:rFonts w:hint="eastAsia" w:ascii="Times New Roman" w:hAnsi="Times New Roman" w:eastAsia="仿宋_GB2312" w:cs="Times New Roman"/>
          <w:szCs w:val="32"/>
        </w:rPr>
        <w:t>万元。具体情况如下：</w:t>
      </w:r>
    </w:p>
    <w:p>
      <w:pPr>
        <w:spacing w:line="360" w:lineRule="exact"/>
        <w:jc w:val="right"/>
        <w:rPr>
          <w:rFonts w:ascii="Times New Roman" w:hAnsi="Times New Roman" w:cs="Times New Roman"/>
          <w:kern w:val="0"/>
          <w:sz w:val="20"/>
          <w:szCs w:val="20"/>
        </w:rPr>
      </w:pPr>
      <w:r>
        <w:rPr>
          <w:rFonts w:hint="eastAsia" w:ascii="Times New Roman" w:hAnsi="Times New Roman" w:cs="Times New Roman"/>
          <w:kern w:val="0"/>
          <w:sz w:val="20"/>
          <w:szCs w:val="20"/>
        </w:rPr>
        <w:t>金额单位：万元</w:t>
      </w:r>
    </w:p>
    <w:tbl>
      <w:tblPr>
        <w:tblStyle w:val="14"/>
        <w:tblW w:w="5074" w:type="pct"/>
        <w:tblInd w:w="-18" w:type="dxa"/>
        <w:tblLayout w:type="fixed"/>
        <w:tblCellMar>
          <w:top w:w="0" w:type="dxa"/>
          <w:left w:w="108" w:type="dxa"/>
          <w:bottom w:w="0" w:type="dxa"/>
          <w:right w:w="108" w:type="dxa"/>
        </w:tblCellMar>
      </w:tblPr>
      <w:tblGrid>
        <w:gridCol w:w="2796"/>
        <w:gridCol w:w="861"/>
        <w:gridCol w:w="1153"/>
        <w:gridCol w:w="917"/>
        <w:gridCol w:w="986"/>
        <w:gridCol w:w="1069"/>
        <w:gridCol w:w="866"/>
      </w:tblGrid>
      <w:tr>
        <w:tblPrEx>
          <w:tblCellMar>
            <w:top w:w="0" w:type="dxa"/>
            <w:left w:w="108" w:type="dxa"/>
            <w:bottom w:w="0" w:type="dxa"/>
            <w:right w:w="108" w:type="dxa"/>
          </w:tblCellMar>
        </w:tblPrEx>
        <w:trPr>
          <w:trHeight w:val="617" w:hRule="atLeast"/>
          <w:tblHeader/>
        </w:trPr>
        <w:tc>
          <w:tcPr>
            <w:tcW w:w="1615" w:type="pct"/>
            <w:tcBorders>
              <w:top w:val="single" w:color="auto" w:sz="8" w:space="0"/>
              <w:left w:val="single" w:color="auto" w:sz="8" w:space="0"/>
              <w:bottom w:val="single" w:color="auto" w:sz="4" w:space="0"/>
              <w:right w:val="single" w:color="auto" w:sz="8" w:space="0"/>
            </w:tcBorders>
            <w:shd w:val="clear" w:color="auto" w:fill="auto"/>
            <w:vAlign w:val="center"/>
          </w:tcPr>
          <w:p>
            <w:pPr>
              <w:widowControl/>
              <w:spacing w:line="240" w:lineRule="exact"/>
              <w:jc w:val="center"/>
              <w:rPr>
                <w:rFonts w:ascii="仿宋_GB2312" w:hAnsi="等线" w:eastAsia="仿宋_GB2312" w:cs="宋体"/>
                <w:b/>
                <w:bCs/>
                <w:color w:val="000000"/>
                <w:kern w:val="0"/>
                <w:sz w:val="21"/>
                <w:szCs w:val="21"/>
              </w:rPr>
            </w:pPr>
            <w:r>
              <w:rPr>
                <w:rFonts w:hint="eastAsia" w:ascii="仿宋_GB2312" w:hAnsi="等线" w:eastAsia="仿宋_GB2312" w:cs="宋体"/>
                <w:b/>
                <w:bCs/>
                <w:color w:val="000000"/>
                <w:kern w:val="0"/>
                <w:sz w:val="21"/>
                <w:szCs w:val="21"/>
              </w:rPr>
              <w:t>指  标</w:t>
            </w:r>
          </w:p>
        </w:tc>
        <w:tc>
          <w:tcPr>
            <w:tcW w:w="497" w:type="pct"/>
            <w:tcBorders>
              <w:top w:val="single" w:color="auto" w:sz="8" w:space="0"/>
              <w:left w:val="nil"/>
              <w:bottom w:val="single" w:color="auto" w:sz="4" w:space="0"/>
              <w:right w:val="single" w:color="auto" w:sz="8" w:space="0"/>
            </w:tcBorders>
            <w:shd w:val="clear" w:color="auto" w:fill="auto"/>
            <w:vAlign w:val="center"/>
          </w:tcPr>
          <w:p>
            <w:pPr>
              <w:widowControl/>
              <w:spacing w:line="280" w:lineRule="exact"/>
              <w:jc w:val="center"/>
              <w:rPr>
                <w:rFonts w:ascii="仿宋_GB2312" w:hAnsi="等线" w:eastAsia="仿宋_GB2312" w:cs="宋体"/>
                <w:b/>
                <w:bCs/>
                <w:color w:val="000000"/>
                <w:kern w:val="0"/>
                <w:sz w:val="21"/>
                <w:szCs w:val="21"/>
              </w:rPr>
            </w:pPr>
            <w:r>
              <w:rPr>
                <w:rFonts w:ascii="Times New Roman" w:hAnsi="Times New Roman" w:eastAsia="仿宋_GB2312" w:cs="Times New Roman"/>
                <w:b/>
                <w:bCs/>
                <w:color w:val="000000"/>
                <w:kern w:val="0"/>
                <w:sz w:val="20"/>
                <w:szCs w:val="20"/>
              </w:rPr>
              <w:t>202</w:t>
            </w:r>
            <w:r>
              <w:rPr>
                <w:rFonts w:hint="eastAsia" w:ascii="Times New Roman" w:hAnsi="Times New Roman" w:eastAsia="仿宋_GB2312" w:cs="Times New Roman"/>
                <w:b/>
                <w:bCs/>
                <w:color w:val="000000"/>
                <w:kern w:val="0"/>
                <w:sz w:val="20"/>
                <w:szCs w:val="20"/>
              </w:rPr>
              <w:t>2</w:t>
            </w:r>
            <w:r>
              <w:rPr>
                <w:rFonts w:ascii="Times New Roman" w:hAnsi="Times New Roman" w:eastAsia="仿宋_GB2312" w:cs="Times New Roman"/>
                <w:b/>
                <w:bCs/>
                <w:color w:val="000000"/>
                <w:kern w:val="0"/>
                <w:sz w:val="20"/>
                <w:szCs w:val="20"/>
              </w:rPr>
              <w:t>年年初预算</w:t>
            </w:r>
          </w:p>
        </w:tc>
        <w:tc>
          <w:tcPr>
            <w:tcW w:w="666" w:type="pct"/>
            <w:tcBorders>
              <w:top w:val="single" w:color="auto" w:sz="8" w:space="0"/>
              <w:left w:val="nil"/>
              <w:bottom w:val="single" w:color="auto" w:sz="4" w:space="0"/>
              <w:right w:val="single" w:color="auto" w:sz="8" w:space="0"/>
            </w:tcBorders>
            <w:shd w:val="clear" w:color="auto" w:fill="auto"/>
            <w:vAlign w:val="center"/>
          </w:tcPr>
          <w:p>
            <w:pPr>
              <w:widowControl/>
              <w:spacing w:line="280" w:lineRule="exact"/>
              <w:jc w:val="center"/>
              <w:rPr>
                <w:rFonts w:ascii="仿宋_GB2312" w:hAnsi="等线" w:eastAsia="仿宋_GB2312" w:cs="宋体"/>
                <w:b/>
                <w:bCs/>
                <w:color w:val="000000"/>
                <w:kern w:val="0"/>
                <w:sz w:val="21"/>
                <w:szCs w:val="21"/>
              </w:rPr>
            </w:pPr>
            <w:r>
              <w:rPr>
                <w:rFonts w:ascii="Times New Roman" w:hAnsi="Times New Roman" w:eastAsia="仿宋_GB2312" w:cs="Times New Roman"/>
                <w:b/>
                <w:bCs/>
                <w:color w:val="000000"/>
                <w:kern w:val="0"/>
                <w:sz w:val="20"/>
                <w:szCs w:val="20"/>
              </w:rPr>
              <w:t>202</w:t>
            </w:r>
            <w:r>
              <w:rPr>
                <w:rFonts w:hint="eastAsia" w:ascii="Times New Roman" w:hAnsi="Times New Roman" w:eastAsia="仿宋_GB2312" w:cs="Times New Roman"/>
                <w:b/>
                <w:bCs/>
                <w:color w:val="000000"/>
                <w:kern w:val="0"/>
                <w:sz w:val="20"/>
                <w:szCs w:val="20"/>
              </w:rPr>
              <w:t>2</w:t>
            </w:r>
            <w:r>
              <w:rPr>
                <w:rFonts w:ascii="Times New Roman" w:hAnsi="Times New Roman" w:eastAsia="仿宋_GB2312" w:cs="Times New Roman"/>
                <w:b/>
                <w:bCs/>
                <w:color w:val="000000"/>
                <w:kern w:val="0"/>
                <w:sz w:val="20"/>
                <w:szCs w:val="20"/>
              </w:rPr>
              <w:t>年</w:t>
            </w:r>
            <w:r>
              <w:rPr>
                <w:rFonts w:hint="eastAsia" w:ascii="Times New Roman" w:hAnsi="Times New Roman" w:eastAsia="仿宋_GB2312" w:cs="Times New Roman"/>
                <w:b/>
                <w:bCs/>
                <w:color w:val="000000"/>
                <w:kern w:val="0"/>
                <w:sz w:val="20"/>
                <w:szCs w:val="20"/>
              </w:rPr>
              <w:t>支出情况</w:t>
            </w:r>
          </w:p>
        </w:tc>
        <w:tc>
          <w:tcPr>
            <w:tcW w:w="530" w:type="pct"/>
            <w:tcBorders>
              <w:top w:val="single" w:color="auto" w:sz="8" w:space="0"/>
              <w:left w:val="nil"/>
              <w:bottom w:val="single" w:color="auto" w:sz="4" w:space="0"/>
              <w:right w:val="single" w:color="auto" w:sz="8" w:space="0"/>
            </w:tcBorders>
            <w:shd w:val="clear" w:color="auto" w:fill="auto"/>
            <w:vAlign w:val="center"/>
          </w:tcPr>
          <w:p>
            <w:pPr>
              <w:widowControl/>
              <w:spacing w:line="240" w:lineRule="exact"/>
              <w:jc w:val="center"/>
              <w:rPr>
                <w:rFonts w:ascii="仿宋_GB2312" w:hAnsi="等线" w:eastAsia="仿宋_GB2312" w:cs="宋体"/>
                <w:b/>
                <w:bCs/>
                <w:color w:val="000000"/>
                <w:kern w:val="0"/>
                <w:sz w:val="21"/>
                <w:szCs w:val="21"/>
              </w:rPr>
            </w:pPr>
            <w:r>
              <w:rPr>
                <w:rFonts w:ascii="Times New Roman" w:hAnsi="Times New Roman" w:eastAsia="仿宋_GB2312" w:cs="Times New Roman"/>
                <w:b/>
                <w:bCs/>
                <w:color w:val="000000"/>
                <w:kern w:val="0"/>
                <w:sz w:val="20"/>
                <w:szCs w:val="20"/>
              </w:rPr>
              <w:t>20</w:t>
            </w:r>
            <w:r>
              <w:rPr>
                <w:rFonts w:hint="eastAsia" w:ascii="Times New Roman" w:hAnsi="Times New Roman" w:eastAsia="仿宋_GB2312" w:cs="Times New Roman"/>
                <w:b/>
                <w:bCs/>
                <w:color w:val="000000"/>
                <w:kern w:val="0"/>
                <w:sz w:val="20"/>
                <w:szCs w:val="20"/>
              </w:rPr>
              <w:t>21年支出情况</w:t>
            </w:r>
          </w:p>
        </w:tc>
        <w:tc>
          <w:tcPr>
            <w:tcW w:w="570" w:type="pct"/>
            <w:tcBorders>
              <w:top w:val="single" w:color="auto" w:sz="8" w:space="0"/>
              <w:left w:val="nil"/>
              <w:bottom w:val="single" w:color="auto" w:sz="4" w:space="0"/>
              <w:right w:val="single" w:color="auto" w:sz="8" w:space="0"/>
            </w:tcBorders>
            <w:shd w:val="clear" w:color="auto" w:fill="auto"/>
            <w:vAlign w:val="center"/>
          </w:tcPr>
          <w:p>
            <w:pPr>
              <w:widowControl/>
              <w:spacing w:line="280" w:lineRule="exact"/>
              <w:jc w:val="center"/>
              <w:rPr>
                <w:rFonts w:ascii="仿宋_GB2312" w:hAnsi="等线" w:eastAsia="仿宋_GB2312" w:cs="宋体"/>
                <w:b/>
                <w:bCs/>
                <w:color w:val="000000"/>
                <w:kern w:val="0"/>
                <w:sz w:val="21"/>
                <w:szCs w:val="21"/>
              </w:rPr>
            </w:pPr>
            <w:r>
              <w:rPr>
                <w:rFonts w:hint="eastAsia" w:ascii="Times New Roman" w:hAnsi="Times New Roman" w:eastAsia="仿宋_GB2312" w:cs="Times New Roman"/>
                <w:b/>
                <w:bCs/>
                <w:color w:val="000000"/>
                <w:kern w:val="0"/>
                <w:sz w:val="20"/>
                <w:szCs w:val="20"/>
              </w:rPr>
              <w:t>较2021年同期增加金额</w:t>
            </w:r>
          </w:p>
        </w:tc>
        <w:tc>
          <w:tcPr>
            <w:tcW w:w="618" w:type="pct"/>
            <w:tcBorders>
              <w:top w:val="single" w:color="auto" w:sz="8" w:space="0"/>
              <w:left w:val="nil"/>
              <w:bottom w:val="single" w:color="auto" w:sz="4" w:space="0"/>
              <w:right w:val="single" w:color="auto" w:sz="8" w:space="0"/>
            </w:tcBorders>
            <w:shd w:val="clear" w:color="auto" w:fill="auto"/>
            <w:vAlign w:val="center"/>
          </w:tcPr>
          <w:p>
            <w:pPr>
              <w:widowControl/>
              <w:spacing w:line="280" w:lineRule="exact"/>
              <w:jc w:val="center"/>
              <w:rPr>
                <w:rFonts w:ascii="仿宋_GB2312" w:hAnsi="等线" w:eastAsia="仿宋_GB2312" w:cs="宋体"/>
                <w:b/>
                <w:bCs/>
                <w:color w:val="000000"/>
                <w:kern w:val="0"/>
                <w:sz w:val="21"/>
                <w:szCs w:val="21"/>
              </w:rPr>
            </w:pPr>
            <w:r>
              <w:rPr>
                <w:rFonts w:hint="eastAsia" w:ascii="Times New Roman" w:hAnsi="Times New Roman" w:eastAsia="仿宋_GB2312" w:cs="Times New Roman"/>
                <w:b/>
                <w:bCs/>
                <w:color w:val="000000"/>
                <w:kern w:val="0"/>
                <w:sz w:val="20"/>
                <w:szCs w:val="20"/>
              </w:rPr>
              <w:t>较2021年同期增加比例</w:t>
            </w:r>
          </w:p>
        </w:tc>
        <w:tc>
          <w:tcPr>
            <w:tcW w:w="501" w:type="pct"/>
            <w:tcBorders>
              <w:top w:val="single" w:color="auto" w:sz="8" w:space="0"/>
              <w:left w:val="nil"/>
              <w:bottom w:val="single" w:color="auto" w:sz="4" w:space="0"/>
              <w:right w:val="single" w:color="auto" w:sz="8" w:space="0"/>
            </w:tcBorders>
            <w:shd w:val="clear" w:color="auto" w:fill="auto"/>
            <w:vAlign w:val="center"/>
          </w:tcPr>
          <w:p>
            <w:pPr>
              <w:widowControl/>
              <w:spacing w:line="240" w:lineRule="exact"/>
              <w:jc w:val="center"/>
              <w:rPr>
                <w:rFonts w:ascii="仿宋_GB2312" w:hAnsi="等线" w:eastAsia="仿宋_GB2312" w:cs="宋体"/>
                <w:b/>
                <w:bCs/>
                <w:color w:val="000000"/>
                <w:kern w:val="0"/>
                <w:sz w:val="21"/>
                <w:szCs w:val="21"/>
              </w:rPr>
            </w:pPr>
            <w:r>
              <w:rPr>
                <w:rFonts w:hint="eastAsia" w:ascii="仿宋_GB2312" w:hAnsi="等线" w:eastAsia="仿宋_GB2312" w:cs="宋体"/>
                <w:b/>
                <w:bCs/>
                <w:color w:val="000000"/>
                <w:kern w:val="0"/>
                <w:sz w:val="21"/>
                <w:szCs w:val="21"/>
              </w:rPr>
              <w:t>备注</w:t>
            </w:r>
          </w:p>
        </w:tc>
      </w:tr>
      <w:tr>
        <w:tblPrEx>
          <w:tblCellMar>
            <w:top w:w="0" w:type="dxa"/>
            <w:left w:w="108" w:type="dxa"/>
            <w:bottom w:w="0" w:type="dxa"/>
            <w:right w:w="108" w:type="dxa"/>
          </w:tblCellMar>
        </w:tblPrEx>
        <w:trPr>
          <w:trHeight w:val="437" w:hRule="exact"/>
        </w:trPr>
        <w:tc>
          <w:tcPr>
            <w:tcW w:w="16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ascii="仿宋" w:hAnsi="仿宋" w:cs="宋体"/>
                <w:b/>
                <w:bCs/>
                <w:color w:val="000000"/>
                <w:kern w:val="0"/>
                <w:sz w:val="18"/>
                <w:szCs w:val="18"/>
              </w:rPr>
            </w:pPr>
            <w:r>
              <w:rPr>
                <w:rFonts w:hint="eastAsia" w:ascii="仿宋" w:hAnsi="仿宋" w:cs="宋体"/>
                <w:b/>
                <w:bCs/>
                <w:color w:val="000000"/>
                <w:kern w:val="0"/>
                <w:sz w:val="18"/>
                <w:szCs w:val="18"/>
              </w:rPr>
              <w:t>　“三公”经费支出</w:t>
            </w:r>
          </w:p>
        </w:tc>
        <w:tc>
          <w:tcPr>
            <w:tcW w:w="4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ascii="仿宋" w:hAnsi="仿宋" w:cs="宋体"/>
                <w:b/>
                <w:bCs/>
                <w:color w:val="000000"/>
                <w:kern w:val="0"/>
                <w:sz w:val="18"/>
                <w:szCs w:val="18"/>
              </w:rPr>
            </w:pPr>
            <w:r>
              <w:rPr>
                <w:rFonts w:hint="eastAsia" w:ascii="仿宋" w:hAnsi="仿宋" w:cs="宋体"/>
                <w:b/>
                <w:bCs/>
                <w:color w:val="000000"/>
                <w:kern w:val="0"/>
                <w:sz w:val="18"/>
                <w:szCs w:val="18"/>
                <w:lang w:val="en-US" w:eastAsia="zh-CN"/>
              </w:rPr>
              <w:t>2</w:t>
            </w:r>
            <w:r>
              <w:rPr>
                <w:rFonts w:ascii="仿宋" w:hAnsi="仿宋" w:cs="宋体"/>
                <w:b/>
                <w:bCs/>
                <w:color w:val="000000"/>
                <w:kern w:val="0"/>
                <w:sz w:val="18"/>
                <w:szCs w:val="18"/>
              </w:rPr>
              <w:t>.00</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hint="default" w:ascii="仿宋_GB2312" w:hAnsi="等线" w:eastAsia="仿宋_GB2312" w:cs="宋体"/>
                <w:b/>
                <w:bCs/>
                <w:color w:val="000000"/>
                <w:kern w:val="0"/>
                <w:sz w:val="18"/>
                <w:szCs w:val="18"/>
                <w:lang w:val="en-US"/>
              </w:rPr>
            </w:pPr>
            <w:r>
              <w:rPr>
                <w:rFonts w:hint="eastAsia" w:ascii="仿宋" w:hAnsi="仿宋" w:cs="仿宋"/>
                <w:b/>
                <w:bCs/>
                <w:color w:val="000000"/>
                <w:kern w:val="0"/>
                <w:sz w:val="18"/>
                <w:szCs w:val="18"/>
                <w:lang w:val="en-US" w:eastAsia="zh-CN"/>
              </w:rPr>
              <w:t>0.07</w:t>
            </w:r>
          </w:p>
        </w:tc>
        <w:tc>
          <w:tcPr>
            <w:tcW w:w="53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eastAsia="仿宋" w:cs="仿宋"/>
                <w:b/>
                <w:bCs/>
                <w:color w:val="000000"/>
                <w:kern w:val="0"/>
                <w:sz w:val="18"/>
                <w:szCs w:val="18"/>
                <w:lang w:val="en-US" w:eastAsia="zh-CN"/>
              </w:rPr>
            </w:pPr>
            <w:r>
              <w:rPr>
                <w:rFonts w:hint="eastAsia" w:ascii="仿宋" w:hAnsi="仿宋" w:cs="仿宋"/>
                <w:b/>
                <w:bCs/>
                <w:color w:val="000000"/>
                <w:kern w:val="0"/>
                <w:sz w:val="18"/>
                <w:szCs w:val="18"/>
                <w:lang w:val="en-US" w:eastAsia="zh-CN"/>
              </w:rPr>
              <w:t>1.30</w:t>
            </w:r>
          </w:p>
        </w:tc>
        <w:tc>
          <w:tcPr>
            <w:tcW w:w="57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cs="仿宋"/>
                <w:b/>
                <w:bCs/>
                <w:color w:val="000000"/>
                <w:kern w:val="0"/>
                <w:sz w:val="18"/>
                <w:szCs w:val="18"/>
                <w:lang w:val="en-US"/>
              </w:rPr>
            </w:pPr>
            <w:r>
              <w:rPr>
                <w:rFonts w:hint="eastAsia" w:ascii="仿宋" w:hAnsi="仿宋" w:cs="仿宋"/>
                <w:b/>
                <w:bCs/>
                <w:color w:val="000000"/>
                <w:kern w:val="0"/>
                <w:sz w:val="18"/>
                <w:szCs w:val="18"/>
              </w:rPr>
              <w:t>-</w:t>
            </w:r>
            <w:r>
              <w:rPr>
                <w:rFonts w:hint="eastAsia" w:ascii="仿宋" w:hAnsi="仿宋" w:cs="仿宋"/>
                <w:b/>
                <w:bCs/>
                <w:color w:val="000000"/>
                <w:kern w:val="0"/>
                <w:sz w:val="18"/>
                <w:szCs w:val="18"/>
                <w:lang w:val="en-US" w:eastAsia="zh-CN"/>
              </w:rPr>
              <w:t>1.23</w:t>
            </w:r>
          </w:p>
        </w:tc>
        <w:tc>
          <w:tcPr>
            <w:tcW w:w="61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b/>
                <w:bCs/>
                <w:color w:val="000000"/>
                <w:kern w:val="0"/>
                <w:sz w:val="18"/>
                <w:szCs w:val="18"/>
              </w:rPr>
            </w:pPr>
            <w:r>
              <w:rPr>
                <w:rFonts w:hint="eastAsia" w:ascii="仿宋" w:hAnsi="仿宋" w:cs="仿宋"/>
                <w:b/>
                <w:bCs/>
                <w:color w:val="000000"/>
                <w:kern w:val="0"/>
                <w:sz w:val="18"/>
                <w:szCs w:val="18"/>
                <w:lang w:val="en-US" w:eastAsia="zh-CN"/>
              </w:rPr>
              <w:t>-94.62</w:t>
            </w:r>
            <w:r>
              <w:rPr>
                <w:rFonts w:ascii="仿宋" w:hAnsi="仿宋" w:cs="仿宋"/>
                <w:b/>
                <w:bCs/>
                <w:color w:val="000000"/>
                <w:kern w:val="0"/>
                <w:sz w:val="18"/>
                <w:szCs w:val="18"/>
              </w:rPr>
              <w:t>%</w:t>
            </w:r>
          </w:p>
        </w:tc>
        <w:tc>
          <w:tcPr>
            <w:tcW w:w="50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宋体"/>
                <w:color w:val="000000"/>
                <w:kern w:val="0"/>
                <w:sz w:val="18"/>
                <w:szCs w:val="18"/>
              </w:rPr>
            </w:pPr>
          </w:p>
        </w:tc>
      </w:tr>
      <w:tr>
        <w:tblPrEx>
          <w:tblCellMar>
            <w:top w:w="0" w:type="dxa"/>
            <w:left w:w="108" w:type="dxa"/>
            <w:bottom w:w="0" w:type="dxa"/>
            <w:right w:w="108" w:type="dxa"/>
          </w:tblCellMar>
        </w:tblPrEx>
        <w:trPr>
          <w:trHeight w:val="437" w:hRule="exact"/>
        </w:trPr>
        <w:tc>
          <w:tcPr>
            <w:tcW w:w="16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ascii="仿宋" w:hAnsi="仿宋" w:cs="宋体"/>
                <w:color w:val="000000"/>
                <w:kern w:val="0"/>
                <w:sz w:val="18"/>
                <w:szCs w:val="18"/>
              </w:rPr>
            </w:pPr>
            <w:r>
              <w:rPr>
                <w:rFonts w:hint="eastAsia" w:ascii="仿宋" w:hAnsi="仿宋" w:cs="宋体"/>
                <w:color w:val="000000"/>
                <w:kern w:val="0"/>
                <w:sz w:val="18"/>
                <w:szCs w:val="18"/>
              </w:rPr>
              <w:t>其中：因公出国（境）费</w:t>
            </w:r>
          </w:p>
        </w:tc>
        <w:tc>
          <w:tcPr>
            <w:tcW w:w="4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ascii="仿宋" w:hAnsi="仿宋" w:cs="宋体"/>
                <w:color w:val="000000"/>
                <w:kern w:val="0"/>
                <w:sz w:val="18"/>
                <w:szCs w:val="18"/>
              </w:rPr>
            </w:pPr>
            <w:r>
              <w:rPr>
                <w:rFonts w:hint="eastAsia" w:ascii="仿宋" w:hAnsi="仿宋" w:cs="宋体"/>
                <w:color w:val="000000"/>
                <w:kern w:val="0"/>
                <w:sz w:val="18"/>
                <w:szCs w:val="18"/>
              </w:rPr>
              <w:t>-</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hint="eastAsia" w:ascii="仿宋" w:hAnsi="仿宋" w:eastAsia="仿宋" w:cs="宋体"/>
                <w:color w:val="000000"/>
                <w:kern w:val="0"/>
                <w:sz w:val="18"/>
                <w:szCs w:val="18"/>
                <w:lang w:eastAsia="zh-CN"/>
              </w:rPr>
            </w:pPr>
            <w:r>
              <w:rPr>
                <w:rFonts w:hint="eastAsia" w:ascii="仿宋" w:hAnsi="仿宋" w:cs="宋体"/>
                <w:color w:val="000000"/>
                <w:kern w:val="0"/>
                <w:sz w:val="18"/>
                <w:szCs w:val="18"/>
                <w:lang w:val="en-US" w:eastAsia="zh-CN"/>
              </w:rPr>
              <w:t>-</w:t>
            </w:r>
          </w:p>
        </w:tc>
        <w:tc>
          <w:tcPr>
            <w:tcW w:w="53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57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61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50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宋体"/>
                <w:color w:val="000000"/>
                <w:kern w:val="0"/>
                <w:sz w:val="18"/>
                <w:szCs w:val="18"/>
              </w:rPr>
            </w:pPr>
          </w:p>
        </w:tc>
      </w:tr>
      <w:tr>
        <w:tblPrEx>
          <w:tblCellMar>
            <w:top w:w="0" w:type="dxa"/>
            <w:left w:w="108" w:type="dxa"/>
            <w:bottom w:w="0" w:type="dxa"/>
            <w:right w:w="108" w:type="dxa"/>
          </w:tblCellMar>
        </w:tblPrEx>
        <w:trPr>
          <w:trHeight w:val="437" w:hRule="exact"/>
        </w:trPr>
        <w:tc>
          <w:tcPr>
            <w:tcW w:w="16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仿宋" w:hAnsi="仿宋" w:cs="宋体"/>
                <w:color w:val="000000"/>
                <w:kern w:val="0"/>
                <w:sz w:val="18"/>
                <w:szCs w:val="18"/>
              </w:rPr>
            </w:pPr>
            <w:r>
              <w:rPr>
                <w:rFonts w:hint="eastAsia" w:ascii="仿宋" w:hAnsi="仿宋" w:cs="宋体"/>
                <w:color w:val="000000"/>
                <w:kern w:val="0"/>
                <w:sz w:val="18"/>
                <w:szCs w:val="18"/>
              </w:rPr>
              <w:t xml:space="preserve">    公务用车购置及运行维护费</w:t>
            </w:r>
          </w:p>
        </w:tc>
        <w:tc>
          <w:tcPr>
            <w:tcW w:w="4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ascii="仿宋" w:hAnsi="仿宋" w:cs="宋体"/>
                <w:color w:val="000000"/>
                <w:kern w:val="0"/>
                <w:sz w:val="18"/>
                <w:szCs w:val="18"/>
              </w:rPr>
            </w:pPr>
            <w:r>
              <w:rPr>
                <w:rFonts w:hint="eastAsia" w:ascii="仿宋" w:hAnsi="仿宋" w:cs="宋体"/>
                <w:color w:val="000000"/>
                <w:kern w:val="0"/>
                <w:sz w:val="18"/>
                <w:szCs w:val="18"/>
                <w:lang w:val="en-US" w:eastAsia="zh-CN"/>
              </w:rPr>
              <w:t>-</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ascii="仿宋" w:hAnsi="仿宋" w:cs="宋体"/>
                <w:color w:val="000000"/>
                <w:kern w:val="0"/>
                <w:sz w:val="18"/>
                <w:szCs w:val="18"/>
              </w:rPr>
            </w:pPr>
            <w:r>
              <w:rPr>
                <w:rFonts w:hint="eastAsia" w:ascii="仿宋" w:hAnsi="仿宋" w:cs="宋体"/>
                <w:color w:val="000000"/>
                <w:kern w:val="0"/>
                <w:sz w:val="18"/>
                <w:szCs w:val="18"/>
                <w:lang w:val="en-US" w:eastAsia="zh-CN"/>
              </w:rPr>
              <w:t>-</w:t>
            </w:r>
          </w:p>
        </w:tc>
        <w:tc>
          <w:tcPr>
            <w:tcW w:w="53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57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61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仿宋"/>
                <w:color w:val="000000"/>
                <w:kern w:val="0"/>
                <w:sz w:val="18"/>
                <w:szCs w:val="18"/>
              </w:rPr>
              <w:t>-</w:t>
            </w:r>
          </w:p>
        </w:tc>
        <w:tc>
          <w:tcPr>
            <w:tcW w:w="50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宋体"/>
                <w:color w:val="000000"/>
                <w:kern w:val="0"/>
                <w:sz w:val="18"/>
                <w:szCs w:val="18"/>
              </w:rPr>
            </w:pPr>
          </w:p>
        </w:tc>
      </w:tr>
      <w:tr>
        <w:tblPrEx>
          <w:tblCellMar>
            <w:top w:w="0" w:type="dxa"/>
            <w:left w:w="108" w:type="dxa"/>
            <w:bottom w:w="0" w:type="dxa"/>
            <w:right w:w="108" w:type="dxa"/>
          </w:tblCellMar>
        </w:tblPrEx>
        <w:trPr>
          <w:trHeight w:val="437" w:hRule="exact"/>
        </w:trPr>
        <w:tc>
          <w:tcPr>
            <w:tcW w:w="16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仿宋" w:hAnsi="仿宋" w:cs="宋体"/>
                <w:color w:val="000000"/>
                <w:kern w:val="0"/>
                <w:sz w:val="18"/>
                <w:szCs w:val="18"/>
              </w:rPr>
            </w:pPr>
            <w:r>
              <w:rPr>
                <w:rFonts w:hint="eastAsia" w:ascii="仿宋" w:hAnsi="仿宋" w:cs="宋体"/>
                <w:color w:val="000000"/>
                <w:kern w:val="0"/>
                <w:sz w:val="18"/>
                <w:szCs w:val="18"/>
              </w:rPr>
              <w:t xml:space="preserve">  其中：公务用车购置费</w:t>
            </w:r>
          </w:p>
        </w:tc>
        <w:tc>
          <w:tcPr>
            <w:tcW w:w="4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ascii="仿宋" w:hAnsi="仿宋" w:cs="宋体"/>
                <w:color w:val="000000"/>
                <w:kern w:val="0"/>
                <w:sz w:val="18"/>
                <w:szCs w:val="18"/>
              </w:rPr>
            </w:pPr>
            <w:r>
              <w:rPr>
                <w:rFonts w:hint="eastAsia" w:ascii="仿宋" w:hAnsi="仿宋" w:cs="宋体"/>
                <w:color w:val="000000"/>
                <w:kern w:val="0"/>
                <w:sz w:val="18"/>
                <w:szCs w:val="18"/>
              </w:rPr>
              <w:t>-</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ascii="仿宋" w:hAnsi="仿宋" w:cs="宋体"/>
                <w:color w:val="000000"/>
                <w:kern w:val="0"/>
                <w:sz w:val="18"/>
                <w:szCs w:val="18"/>
              </w:rPr>
            </w:pPr>
            <w:r>
              <w:rPr>
                <w:rFonts w:hint="eastAsia" w:ascii="仿宋" w:hAnsi="仿宋" w:cs="宋体"/>
                <w:color w:val="000000"/>
                <w:kern w:val="0"/>
                <w:sz w:val="18"/>
                <w:szCs w:val="18"/>
                <w:lang w:val="en-US" w:eastAsia="zh-CN"/>
              </w:rPr>
              <w:t>-</w:t>
            </w:r>
          </w:p>
        </w:tc>
        <w:tc>
          <w:tcPr>
            <w:tcW w:w="53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57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61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仿宋"/>
                <w:color w:val="000000"/>
                <w:kern w:val="0"/>
                <w:sz w:val="18"/>
                <w:szCs w:val="18"/>
              </w:rPr>
              <w:t>-</w:t>
            </w:r>
          </w:p>
        </w:tc>
        <w:tc>
          <w:tcPr>
            <w:tcW w:w="50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宋体"/>
                <w:color w:val="000000"/>
                <w:kern w:val="0"/>
                <w:sz w:val="18"/>
                <w:szCs w:val="18"/>
              </w:rPr>
            </w:pPr>
          </w:p>
        </w:tc>
      </w:tr>
      <w:tr>
        <w:tblPrEx>
          <w:tblCellMar>
            <w:top w:w="0" w:type="dxa"/>
            <w:left w:w="108" w:type="dxa"/>
            <w:bottom w:w="0" w:type="dxa"/>
            <w:right w:w="108" w:type="dxa"/>
          </w:tblCellMar>
        </w:tblPrEx>
        <w:trPr>
          <w:trHeight w:val="437" w:hRule="exact"/>
        </w:trPr>
        <w:tc>
          <w:tcPr>
            <w:tcW w:w="16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仿宋" w:hAnsi="仿宋" w:cs="宋体"/>
                <w:color w:val="000000"/>
                <w:kern w:val="0"/>
                <w:sz w:val="18"/>
                <w:szCs w:val="18"/>
              </w:rPr>
            </w:pPr>
            <w:r>
              <w:rPr>
                <w:rFonts w:hint="eastAsia" w:ascii="仿宋" w:hAnsi="仿宋" w:cs="宋体"/>
                <w:color w:val="000000"/>
                <w:kern w:val="0"/>
                <w:sz w:val="18"/>
                <w:szCs w:val="18"/>
              </w:rPr>
              <w:t xml:space="preserve">          公务用车运行维护费</w:t>
            </w:r>
          </w:p>
        </w:tc>
        <w:tc>
          <w:tcPr>
            <w:tcW w:w="4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ascii="仿宋" w:hAnsi="仿宋" w:cs="宋体"/>
                <w:color w:val="000000"/>
                <w:kern w:val="0"/>
                <w:sz w:val="18"/>
                <w:szCs w:val="18"/>
              </w:rPr>
            </w:pPr>
            <w:r>
              <w:rPr>
                <w:rFonts w:hint="eastAsia" w:ascii="仿宋" w:hAnsi="仿宋" w:cs="宋体"/>
                <w:color w:val="000000"/>
                <w:kern w:val="0"/>
                <w:sz w:val="18"/>
                <w:szCs w:val="18"/>
                <w:lang w:val="en-US" w:eastAsia="zh-CN"/>
              </w:rPr>
              <w:t>-</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right"/>
              <w:rPr>
                <w:rFonts w:hint="default" w:ascii="仿宋" w:hAnsi="仿宋" w:cs="宋体"/>
                <w:color w:val="000000"/>
                <w:kern w:val="0"/>
                <w:sz w:val="18"/>
                <w:szCs w:val="18"/>
                <w:lang w:val="en-US"/>
              </w:rPr>
            </w:pPr>
            <w:r>
              <w:rPr>
                <w:rFonts w:hint="eastAsia" w:ascii="仿宋" w:hAnsi="仿宋" w:cs="宋体"/>
                <w:color w:val="000000"/>
                <w:kern w:val="0"/>
                <w:sz w:val="18"/>
                <w:szCs w:val="18"/>
                <w:lang w:val="en-US" w:eastAsia="zh-CN"/>
              </w:rPr>
              <w:t>-</w:t>
            </w:r>
          </w:p>
        </w:tc>
        <w:tc>
          <w:tcPr>
            <w:tcW w:w="53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57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宋体"/>
                <w:color w:val="000000"/>
                <w:kern w:val="0"/>
                <w:sz w:val="18"/>
                <w:szCs w:val="18"/>
                <w:lang w:val="en-US" w:eastAsia="zh-CN"/>
              </w:rPr>
              <w:t>-</w:t>
            </w:r>
          </w:p>
        </w:tc>
        <w:tc>
          <w:tcPr>
            <w:tcW w:w="61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eastAsia="仿宋" w:cs="仿宋"/>
                <w:color w:val="000000"/>
                <w:kern w:val="0"/>
                <w:sz w:val="18"/>
                <w:szCs w:val="18"/>
                <w:lang w:val="en-US" w:eastAsia="zh-CN"/>
              </w:rPr>
            </w:pPr>
            <w:r>
              <w:rPr>
                <w:rFonts w:hint="eastAsia" w:ascii="仿宋" w:hAnsi="仿宋" w:cs="仿宋"/>
                <w:color w:val="000000"/>
                <w:kern w:val="0"/>
                <w:sz w:val="18"/>
                <w:szCs w:val="18"/>
              </w:rPr>
              <w:t>-</w:t>
            </w:r>
          </w:p>
        </w:tc>
        <w:tc>
          <w:tcPr>
            <w:tcW w:w="50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ascii="仿宋" w:hAnsi="仿宋" w:cs="宋体"/>
                <w:color w:val="000000"/>
                <w:kern w:val="0"/>
                <w:sz w:val="18"/>
                <w:szCs w:val="18"/>
              </w:rPr>
            </w:pPr>
          </w:p>
        </w:tc>
      </w:tr>
      <w:tr>
        <w:tblPrEx>
          <w:tblCellMar>
            <w:top w:w="0" w:type="dxa"/>
            <w:left w:w="108" w:type="dxa"/>
            <w:bottom w:w="0" w:type="dxa"/>
            <w:right w:w="108" w:type="dxa"/>
          </w:tblCellMar>
        </w:tblPrEx>
        <w:trPr>
          <w:trHeight w:val="437" w:hRule="exact"/>
        </w:trPr>
        <w:tc>
          <w:tcPr>
            <w:tcW w:w="16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ind w:firstLine="540" w:firstLineChars="300"/>
              <w:jc w:val="left"/>
              <w:rPr>
                <w:rFonts w:ascii="仿宋" w:hAnsi="仿宋" w:cs="宋体"/>
                <w:color w:val="000000"/>
                <w:kern w:val="0"/>
                <w:sz w:val="18"/>
                <w:szCs w:val="18"/>
              </w:rPr>
            </w:pPr>
            <w:r>
              <w:rPr>
                <w:rFonts w:hint="eastAsia" w:ascii="仿宋" w:hAnsi="仿宋" w:cs="宋体"/>
                <w:color w:val="000000"/>
                <w:kern w:val="0"/>
                <w:sz w:val="18"/>
                <w:szCs w:val="18"/>
              </w:rPr>
              <w:t>公务接待费</w:t>
            </w:r>
          </w:p>
        </w:tc>
        <w:tc>
          <w:tcPr>
            <w:tcW w:w="497"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right"/>
              <w:rPr>
                <w:rFonts w:ascii="仿宋" w:hAnsi="仿宋" w:cs="宋体"/>
                <w:color w:val="000000"/>
                <w:kern w:val="0"/>
                <w:sz w:val="18"/>
                <w:szCs w:val="18"/>
              </w:rPr>
            </w:pPr>
            <w:r>
              <w:rPr>
                <w:rFonts w:hint="eastAsia" w:ascii="仿宋" w:hAnsi="仿宋" w:cs="宋体"/>
                <w:color w:val="000000"/>
                <w:kern w:val="0"/>
                <w:sz w:val="18"/>
                <w:szCs w:val="18"/>
                <w:lang w:val="en-US" w:eastAsia="zh-CN"/>
              </w:rPr>
              <w:t>2</w:t>
            </w:r>
            <w:r>
              <w:rPr>
                <w:rFonts w:hint="eastAsia" w:ascii="仿宋" w:hAnsi="仿宋" w:cs="宋体"/>
                <w:color w:val="000000"/>
                <w:kern w:val="0"/>
                <w:sz w:val="18"/>
                <w:szCs w:val="18"/>
              </w:rPr>
              <w:t>.00</w:t>
            </w:r>
          </w:p>
        </w:tc>
        <w:tc>
          <w:tcPr>
            <w:tcW w:w="666"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right"/>
              <w:rPr>
                <w:rFonts w:hint="default" w:ascii="仿宋" w:hAnsi="仿宋" w:cs="宋体"/>
                <w:color w:val="000000"/>
                <w:kern w:val="0"/>
                <w:sz w:val="18"/>
                <w:szCs w:val="18"/>
                <w:lang w:val="en-US"/>
              </w:rPr>
            </w:pPr>
            <w:r>
              <w:rPr>
                <w:rFonts w:hint="eastAsia" w:ascii="仿宋" w:hAnsi="仿宋" w:cs="宋体"/>
                <w:color w:val="000000"/>
                <w:kern w:val="0"/>
                <w:sz w:val="18"/>
                <w:szCs w:val="18"/>
                <w:lang w:val="en-US" w:eastAsia="zh-CN"/>
              </w:rPr>
              <w:t>0.07</w:t>
            </w:r>
          </w:p>
        </w:tc>
        <w:tc>
          <w:tcPr>
            <w:tcW w:w="530"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eastAsia="仿宋" w:cs="仿宋"/>
                <w:color w:val="000000"/>
                <w:kern w:val="0"/>
                <w:sz w:val="18"/>
                <w:szCs w:val="18"/>
                <w:lang w:val="en-US" w:eastAsia="zh-CN"/>
              </w:rPr>
            </w:pPr>
            <w:r>
              <w:rPr>
                <w:rFonts w:hint="eastAsia" w:ascii="仿宋" w:hAnsi="仿宋" w:cs="仿宋"/>
                <w:color w:val="000000"/>
                <w:kern w:val="0"/>
                <w:sz w:val="18"/>
                <w:szCs w:val="18"/>
                <w:lang w:val="en-US" w:eastAsia="zh-CN"/>
              </w:rPr>
              <w:t>1.30</w:t>
            </w:r>
          </w:p>
        </w:tc>
        <w:tc>
          <w:tcPr>
            <w:tcW w:w="570"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eastAsia="仿宋" w:cs="仿宋"/>
                <w:color w:val="000000"/>
                <w:kern w:val="0"/>
                <w:sz w:val="18"/>
                <w:szCs w:val="18"/>
                <w:lang w:val="en-US" w:eastAsia="zh-CN"/>
              </w:rPr>
            </w:pPr>
            <w:r>
              <w:rPr>
                <w:rFonts w:hint="eastAsia" w:ascii="仿宋" w:hAnsi="仿宋" w:cs="仿宋"/>
                <w:color w:val="000000"/>
                <w:kern w:val="0"/>
                <w:sz w:val="18"/>
                <w:szCs w:val="18"/>
              </w:rPr>
              <w:t>-</w:t>
            </w:r>
            <w:r>
              <w:rPr>
                <w:rFonts w:hint="eastAsia" w:ascii="仿宋" w:hAnsi="仿宋" w:cs="仿宋"/>
                <w:color w:val="000000"/>
                <w:kern w:val="0"/>
                <w:sz w:val="18"/>
                <w:szCs w:val="18"/>
                <w:lang w:val="en-US" w:eastAsia="zh-CN"/>
              </w:rPr>
              <w:t>1.23</w:t>
            </w:r>
          </w:p>
        </w:tc>
        <w:tc>
          <w:tcPr>
            <w:tcW w:w="618"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right"/>
              <w:rPr>
                <w:rFonts w:ascii="仿宋" w:hAnsi="仿宋" w:cs="仿宋"/>
                <w:color w:val="000000"/>
                <w:kern w:val="0"/>
                <w:sz w:val="18"/>
                <w:szCs w:val="18"/>
              </w:rPr>
            </w:pPr>
            <w:r>
              <w:rPr>
                <w:rFonts w:hint="eastAsia" w:ascii="仿宋" w:hAnsi="仿宋" w:cs="仿宋"/>
                <w:color w:val="000000"/>
                <w:kern w:val="0"/>
                <w:sz w:val="18"/>
                <w:szCs w:val="18"/>
                <w:lang w:val="en-US" w:eastAsia="zh-CN"/>
              </w:rPr>
              <w:t>-94.62</w:t>
            </w:r>
            <w:r>
              <w:rPr>
                <w:rFonts w:hint="eastAsia" w:ascii="仿宋" w:hAnsi="仿宋" w:cs="仿宋"/>
                <w:color w:val="000000"/>
                <w:kern w:val="0"/>
                <w:sz w:val="18"/>
                <w:szCs w:val="18"/>
              </w:rPr>
              <w:t>%</w:t>
            </w:r>
          </w:p>
        </w:tc>
        <w:tc>
          <w:tcPr>
            <w:tcW w:w="501"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right"/>
              <w:rPr>
                <w:rFonts w:ascii="仿宋" w:hAnsi="仿宋" w:cs="宋体"/>
                <w:color w:val="000000"/>
                <w:kern w:val="0"/>
                <w:sz w:val="18"/>
                <w:szCs w:val="18"/>
              </w:rPr>
            </w:pPr>
          </w:p>
        </w:tc>
      </w:tr>
    </w:tbl>
    <w:p>
      <w:pPr>
        <w:spacing w:line="560" w:lineRule="exact"/>
        <w:ind w:firstLine="640" w:firstLineChars="200"/>
        <w:rPr>
          <w:rFonts w:hint="eastAsia" w:ascii="Times New Roman" w:hAnsi="Times New Roman" w:eastAsia="仿宋_GB2312" w:cs="Times New Roman"/>
          <w:szCs w:val="32"/>
          <w:lang w:eastAsia="zh-CN"/>
        </w:rPr>
      </w:pP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公务接待费</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2022年</w:t>
      </w:r>
      <w:r>
        <w:rPr>
          <w:rFonts w:ascii="Times New Roman" w:hAnsi="Times New Roman" w:eastAsia="仿宋_GB2312" w:cs="Times New Roman"/>
          <w:szCs w:val="32"/>
        </w:rPr>
        <w:t>完成</w:t>
      </w:r>
      <w:r>
        <w:rPr>
          <w:rFonts w:hint="eastAsia" w:ascii="Times New Roman" w:hAnsi="Times New Roman" w:eastAsia="仿宋_GB2312" w:cs="Times New Roman"/>
          <w:szCs w:val="32"/>
          <w:lang w:val="en-US" w:eastAsia="zh-CN"/>
        </w:rPr>
        <w:t>0.07</w:t>
      </w:r>
      <w:r>
        <w:rPr>
          <w:rFonts w:hint="eastAsia" w:ascii="Times New Roman" w:hAnsi="Times New Roman" w:eastAsia="仿宋_GB2312" w:cs="Times New Roman"/>
          <w:szCs w:val="32"/>
        </w:rPr>
        <w:t>万</w:t>
      </w:r>
      <w:r>
        <w:rPr>
          <w:rFonts w:ascii="Times New Roman" w:hAnsi="Times New Roman" w:eastAsia="仿宋_GB2312" w:cs="Times New Roman"/>
          <w:szCs w:val="32"/>
        </w:rPr>
        <w:t>元，比上年</w:t>
      </w:r>
      <w:r>
        <w:rPr>
          <w:rFonts w:hint="eastAsia" w:ascii="Times New Roman" w:hAnsi="Times New Roman" w:eastAsia="仿宋_GB2312" w:cs="Times New Roman"/>
          <w:szCs w:val="32"/>
        </w:rPr>
        <w:t>减少</w:t>
      </w:r>
      <w:r>
        <w:rPr>
          <w:rFonts w:hint="eastAsia" w:ascii="Times New Roman" w:hAnsi="Times New Roman" w:eastAsia="仿宋_GB2312" w:cs="Times New Roman"/>
          <w:szCs w:val="32"/>
          <w:lang w:val="en-US" w:eastAsia="zh-CN"/>
        </w:rPr>
        <w:t>1.23</w:t>
      </w:r>
      <w:r>
        <w:rPr>
          <w:rFonts w:hint="eastAsia" w:ascii="Times New Roman" w:hAnsi="Times New Roman" w:eastAsia="仿宋_GB2312" w:cs="Times New Roman"/>
          <w:szCs w:val="32"/>
        </w:rPr>
        <w:t>万</w:t>
      </w:r>
      <w:r>
        <w:rPr>
          <w:rFonts w:ascii="Times New Roman" w:hAnsi="Times New Roman" w:eastAsia="仿宋_GB2312" w:cs="Times New Roman"/>
          <w:szCs w:val="32"/>
        </w:rPr>
        <w:t>元</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rPr>
        <w:t>下降</w:t>
      </w:r>
      <w:r>
        <w:rPr>
          <w:rFonts w:hint="eastAsia" w:ascii="Times New Roman" w:hAnsi="Times New Roman" w:eastAsia="仿宋_GB2312" w:cs="Times New Roman"/>
          <w:szCs w:val="32"/>
          <w:lang w:val="en-US" w:eastAsia="zh-CN"/>
        </w:rPr>
        <w:t>94.62</w:t>
      </w:r>
      <w:r>
        <w:rPr>
          <w:rFonts w:hint="eastAsia" w:ascii="Times New Roman" w:hAnsi="Times New Roman" w:eastAsia="仿宋_GB2312" w:cs="Times New Roman"/>
          <w:szCs w:val="32"/>
        </w:rPr>
        <w:t>%</w:t>
      </w:r>
      <w:r>
        <w:rPr>
          <w:rFonts w:hint="eastAsia" w:ascii="Times New Roman" w:hAnsi="Times New Roman" w:eastAsia="仿宋_GB2312" w:cs="Times New Roman"/>
          <w:szCs w:val="32"/>
          <w:lang w:eastAsia="zh-CN"/>
        </w:rPr>
        <w:t>。</w:t>
      </w:r>
    </w:p>
    <w:p>
      <w:pPr>
        <w:spacing w:line="560" w:lineRule="exact"/>
        <w:ind w:firstLine="640" w:firstLineChars="200"/>
        <w:rPr>
          <w:rFonts w:hint="default" w:ascii="Times New Roman" w:hAnsi="Times New Roman" w:eastAsia="仿宋_GB2312" w:cs="Times New Roman"/>
          <w:szCs w:val="32"/>
          <w:lang w:val="en-US" w:eastAsia="zh-CN"/>
        </w:rPr>
      </w:pP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公</w:t>
      </w:r>
      <w:r>
        <w:rPr>
          <w:rFonts w:hint="eastAsia" w:ascii="Times New Roman" w:hAnsi="Times New Roman" w:eastAsia="仿宋_GB2312" w:cs="Times New Roman"/>
          <w:szCs w:val="32"/>
        </w:rPr>
        <w:t>车</w:t>
      </w:r>
      <w:r>
        <w:rPr>
          <w:rFonts w:hint="eastAsia" w:ascii="Times New Roman" w:hAnsi="Times New Roman" w:eastAsia="仿宋_GB2312" w:cs="Times New Roman"/>
          <w:szCs w:val="32"/>
          <w:lang w:val="en-US" w:eastAsia="zh-CN"/>
        </w:rPr>
        <w:t>用车</w:t>
      </w:r>
      <w:r>
        <w:rPr>
          <w:rFonts w:hint="eastAsia" w:ascii="Times New Roman" w:hAnsi="Times New Roman" w:eastAsia="仿宋_GB2312" w:cs="Times New Roman"/>
          <w:szCs w:val="32"/>
        </w:rPr>
        <w:t>运行</w:t>
      </w:r>
      <w:r>
        <w:rPr>
          <w:rFonts w:hint="eastAsia" w:ascii="Times New Roman" w:hAnsi="Times New Roman" w:eastAsia="仿宋_GB2312" w:cs="Times New Roman"/>
          <w:szCs w:val="32"/>
          <w:lang w:val="en-US" w:eastAsia="zh-CN"/>
        </w:rPr>
        <w:t>维护</w:t>
      </w:r>
      <w:r>
        <w:rPr>
          <w:rFonts w:ascii="Times New Roman" w:hAnsi="Times New Roman" w:eastAsia="仿宋_GB2312" w:cs="Times New Roman"/>
          <w:szCs w:val="32"/>
        </w:rPr>
        <w:t>费</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团市委2022年无公车用车运行维护费。</w:t>
      </w:r>
    </w:p>
    <w:p>
      <w:pPr>
        <w:spacing w:line="560" w:lineRule="exact"/>
        <w:ind w:firstLine="643" w:firstLineChars="200"/>
        <w:outlineLvl w:val="2"/>
        <w:rPr>
          <w:rFonts w:hint="default" w:ascii="楷体" w:hAnsi="楷体" w:eastAsia="楷体" w:cs="楷体"/>
          <w:b/>
          <w:bCs/>
          <w:szCs w:val="32"/>
          <w:lang w:val="en-US" w:eastAsia="zh-CN"/>
        </w:rPr>
      </w:pPr>
      <w:r>
        <w:rPr>
          <w:rFonts w:hint="eastAsia" w:ascii="楷体" w:hAnsi="楷体" w:eastAsia="楷体" w:cs="楷体"/>
          <w:b/>
          <w:bCs/>
          <w:szCs w:val="32"/>
        </w:rPr>
        <w:t>3、</w:t>
      </w:r>
      <w:r>
        <w:rPr>
          <w:rFonts w:hint="eastAsia" w:ascii="楷体" w:hAnsi="楷体" w:eastAsia="楷体" w:cs="楷体"/>
          <w:b/>
          <w:bCs/>
          <w:szCs w:val="32"/>
          <w:lang w:val="en-US" w:eastAsia="zh-CN"/>
        </w:rPr>
        <w:t>因公出国（境）费用支出和公务用车（购置）情况</w:t>
      </w:r>
    </w:p>
    <w:p>
      <w:pPr>
        <w:spacing w:line="560" w:lineRule="exact"/>
        <w:ind w:firstLine="640" w:firstLineChars="200"/>
        <w:rPr>
          <w:rFonts w:hint="default" w:ascii="仿宋_GB2312" w:hAnsi="仿宋" w:eastAsia="仿宋_GB2312"/>
          <w:b w:val="0"/>
          <w:bCs w:val="0"/>
          <w:kern w:val="2"/>
          <w:sz w:val="32"/>
          <w:szCs w:val="32"/>
          <w:lang w:val="en-US" w:eastAsia="zh-CN"/>
        </w:rPr>
      </w:pPr>
      <w:r>
        <w:rPr>
          <w:rFonts w:hint="eastAsia" w:ascii="仿宋_GB2312" w:hAnsi="仿宋" w:eastAsia="仿宋_GB2312"/>
          <w:b w:val="0"/>
          <w:bCs w:val="0"/>
          <w:kern w:val="2"/>
          <w:sz w:val="32"/>
          <w:szCs w:val="32"/>
          <w:lang w:val="en-US" w:eastAsia="zh-CN"/>
        </w:rPr>
        <w:t>团市委</w:t>
      </w:r>
      <w:r>
        <w:rPr>
          <w:rFonts w:hint="eastAsia" w:ascii="仿宋_GB2312" w:hAnsi="仿宋" w:eastAsia="仿宋_GB2312"/>
          <w:b w:val="0"/>
          <w:bCs w:val="0"/>
          <w:kern w:val="2"/>
          <w:sz w:val="32"/>
          <w:szCs w:val="32"/>
        </w:rPr>
        <w:t>2022年</w:t>
      </w:r>
      <w:r>
        <w:rPr>
          <w:rFonts w:hint="eastAsia" w:ascii="仿宋_GB2312" w:hAnsi="仿宋" w:eastAsia="仿宋_GB2312"/>
          <w:b w:val="0"/>
          <w:bCs w:val="0"/>
          <w:kern w:val="2"/>
          <w:sz w:val="32"/>
          <w:szCs w:val="32"/>
          <w:lang w:val="en-US" w:eastAsia="zh-CN"/>
        </w:rPr>
        <w:t>无因公出国（境）费用支出和公务用车（购置）支出。</w:t>
      </w:r>
    </w:p>
    <w:p>
      <w:p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rPr>
        <w:t>（二）项目支出</w:t>
      </w:r>
    </w:p>
    <w:p>
      <w:pPr>
        <w:spacing w:line="560" w:lineRule="exact"/>
        <w:ind w:firstLine="640" w:firstLineChars="200"/>
        <w:rPr>
          <w:rFonts w:hint="eastAsia" w:ascii="Times New Roman" w:hAnsi="Times New Roman" w:eastAsia="仿宋_GB2312" w:cs="Times New Roman"/>
          <w:szCs w:val="32"/>
        </w:rPr>
      </w:pPr>
      <w:r>
        <w:rPr>
          <w:rFonts w:hint="eastAsia" w:ascii="Times New Roman" w:hAnsi="Times New Roman" w:eastAsia="仿宋_GB2312" w:cs="Times New Roman"/>
          <w:szCs w:val="32"/>
        </w:rPr>
        <w:t>项目支出是指除基本支出以外的所有项目情况，包括部门项目资金（业务工作经费、运行维护经费）、公共专项资金等。</w:t>
      </w:r>
    </w:p>
    <w:p>
      <w:pPr>
        <w:spacing w:line="560" w:lineRule="exact"/>
        <w:ind w:firstLine="643" w:firstLineChars="200"/>
        <w:outlineLvl w:val="2"/>
        <w:rPr>
          <w:rFonts w:ascii="楷体" w:hAnsi="楷体" w:eastAsia="楷体" w:cs="楷体"/>
          <w:b/>
          <w:bCs/>
          <w:szCs w:val="32"/>
        </w:rPr>
      </w:pPr>
      <w:r>
        <w:rPr>
          <w:rFonts w:hint="eastAsia" w:ascii="楷体" w:hAnsi="楷体" w:eastAsia="楷体" w:cs="楷体"/>
          <w:b/>
          <w:bCs/>
          <w:szCs w:val="32"/>
        </w:rPr>
        <w:t>1、项目资金安排落实、总投入等情况分析</w:t>
      </w:r>
    </w:p>
    <w:p>
      <w:pPr>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2022年</w:t>
      </w:r>
      <w:r>
        <w:rPr>
          <w:rFonts w:hint="eastAsia" w:ascii="Times New Roman" w:hAnsi="Times New Roman" w:eastAsia="仿宋_GB2312" w:cs="Times New Roman"/>
          <w:szCs w:val="32"/>
          <w:lang w:val="en-US" w:eastAsia="zh-CN"/>
        </w:rPr>
        <w:t>项目资金</w:t>
      </w:r>
      <w:r>
        <w:rPr>
          <w:rFonts w:hint="eastAsia" w:ascii="Times New Roman" w:hAnsi="Times New Roman" w:eastAsia="仿宋_GB2312" w:cs="Times New Roman"/>
          <w:szCs w:val="32"/>
        </w:rPr>
        <w:t>年初预算</w:t>
      </w:r>
      <w:r>
        <w:rPr>
          <w:rFonts w:hint="eastAsia" w:ascii="Times New Roman" w:hAnsi="Times New Roman" w:eastAsia="仿宋_GB2312" w:cs="Times New Roman"/>
          <w:szCs w:val="32"/>
          <w:lang w:val="en-US" w:eastAsia="zh-CN"/>
        </w:rPr>
        <w:t>115.42</w:t>
      </w:r>
      <w:r>
        <w:rPr>
          <w:rFonts w:hint="eastAsia" w:ascii="Times New Roman" w:hAnsi="Times New Roman" w:eastAsia="仿宋_GB2312" w:cs="Times New Roman"/>
          <w:szCs w:val="32"/>
        </w:rPr>
        <w:t>万元，本年度项目资金收入</w:t>
      </w:r>
      <w:r>
        <w:rPr>
          <w:rFonts w:hint="eastAsia" w:ascii="Times New Roman" w:hAnsi="Times New Roman" w:eastAsia="仿宋_GB2312" w:cs="Times New Roman"/>
          <w:szCs w:val="32"/>
          <w:lang w:val="en-US" w:eastAsia="zh-CN"/>
        </w:rPr>
        <w:t>117.10</w:t>
      </w:r>
      <w:r>
        <w:rPr>
          <w:rFonts w:hint="eastAsia" w:ascii="Times New Roman" w:hAnsi="Times New Roman" w:eastAsia="仿宋_GB2312" w:cs="Times New Roman"/>
          <w:szCs w:val="32"/>
        </w:rPr>
        <w:t>万元，项目资金</w:t>
      </w:r>
      <w:r>
        <w:rPr>
          <w:rFonts w:hint="eastAsia" w:ascii="Times New Roman" w:hAnsi="Times New Roman" w:eastAsia="仿宋_GB2312" w:cs="Times New Roman"/>
          <w:szCs w:val="32"/>
          <w:lang w:val="en-US" w:eastAsia="zh-CN"/>
        </w:rPr>
        <w:t>支出117.10</w:t>
      </w:r>
      <w:r>
        <w:rPr>
          <w:rFonts w:hint="eastAsia" w:ascii="Times New Roman" w:hAnsi="Times New Roman" w:eastAsia="仿宋_GB2312" w:cs="Times New Roman"/>
          <w:szCs w:val="32"/>
        </w:rPr>
        <w:t>万元，</w:t>
      </w:r>
      <w:r>
        <w:rPr>
          <w:rFonts w:hint="eastAsia" w:ascii="Times New Roman" w:hAnsi="Times New Roman" w:eastAsia="仿宋_GB2312" w:cs="Times New Roman"/>
          <w:szCs w:val="32"/>
          <w:lang w:val="en-US" w:eastAsia="zh-CN"/>
        </w:rPr>
        <w:t>其中：一般公共预算财政拨款项目资金支出117.10万元。</w:t>
      </w:r>
    </w:p>
    <w:p>
      <w:pPr>
        <w:spacing w:line="560" w:lineRule="exact"/>
        <w:ind w:firstLine="643" w:firstLineChars="200"/>
        <w:outlineLvl w:val="2"/>
        <w:rPr>
          <w:rFonts w:ascii="楷体" w:hAnsi="楷体" w:eastAsia="楷体" w:cs="楷体"/>
          <w:b/>
          <w:bCs/>
          <w:szCs w:val="32"/>
        </w:rPr>
      </w:pPr>
      <w:r>
        <w:rPr>
          <w:rFonts w:hint="eastAsia" w:ascii="楷体" w:hAnsi="楷体" w:eastAsia="楷体" w:cs="楷体"/>
          <w:b/>
          <w:bCs/>
          <w:szCs w:val="32"/>
        </w:rPr>
        <w:t xml:space="preserve">2、项目资金实际使用情况 </w:t>
      </w:r>
    </w:p>
    <w:p>
      <w:pPr>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2022年项目资金</w:t>
      </w:r>
      <w:r>
        <w:rPr>
          <w:rFonts w:hint="eastAsia" w:ascii="Times New Roman" w:hAnsi="Times New Roman" w:eastAsia="仿宋_GB2312" w:cs="Times New Roman"/>
          <w:szCs w:val="32"/>
          <w:lang w:val="en-US" w:eastAsia="zh-CN"/>
        </w:rPr>
        <w:t>年初预算115.42万元，本年决算</w:t>
      </w:r>
      <w:r>
        <w:rPr>
          <w:rFonts w:hint="eastAsia" w:ascii="Times New Roman" w:hAnsi="Times New Roman" w:eastAsia="仿宋_GB2312" w:cs="Times New Roman"/>
          <w:szCs w:val="32"/>
        </w:rPr>
        <w:t>支出</w:t>
      </w:r>
      <w:r>
        <w:rPr>
          <w:rFonts w:hint="eastAsia" w:ascii="Times New Roman" w:hAnsi="Times New Roman" w:eastAsia="仿宋_GB2312" w:cs="Times New Roman"/>
          <w:szCs w:val="32"/>
          <w:lang w:val="en-US" w:eastAsia="zh-CN"/>
        </w:rPr>
        <w:t>117.10</w:t>
      </w:r>
      <w:r>
        <w:rPr>
          <w:rFonts w:hint="eastAsia" w:ascii="Times New Roman" w:hAnsi="Times New Roman" w:eastAsia="仿宋_GB2312" w:cs="Times New Roman"/>
          <w:szCs w:val="32"/>
        </w:rPr>
        <w:t>万元，</w:t>
      </w:r>
      <w:r>
        <w:rPr>
          <w:rFonts w:hint="eastAsia" w:ascii="Times New Roman" w:hAnsi="Times New Roman" w:eastAsia="仿宋_GB2312" w:cs="Times New Roman"/>
          <w:szCs w:val="32"/>
          <w:lang w:val="en-US" w:eastAsia="zh-CN"/>
        </w:rPr>
        <w:t>较年初预算增加1.46%</w:t>
      </w:r>
      <w:r>
        <w:rPr>
          <w:rFonts w:hint="eastAsia" w:ascii="Times New Roman" w:hAnsi="Times New Roman" w:eastAsia="仿宋_GB2312" w:cs="Times New Roman"/>
          <w:szCs w:val="32"/>
        </w:rPr>
        <w:t>。项目资金</w:t>
      </w:r>
      <w:r>
        <w:rPr>
          <w:rFonts w:hint="eastAsia" w:ascii="Times New Roman" w:hAnsi="Times New Roman" w:eastAsia="仿宋_GB2312" w:cs="Times New Roman"/>
          <w:szCs w:val="32"/>
          <w:lang w:val="en-US" w:eastAsia="zh-CN"/>
        </w:rPr>
        <w:t>支出明细</w:t>
      </w:r>
      <w:r>
        <w:rPr>
          <w:rFonts w:hint="eastAsia" w:ascii="Times New Roman" w:hAnsi="Times New Roman" w:eastAsia="仿宋_GB2312" w:cs="Times New Roman"/>
          <w:szCs w:val="32"/>
        </w:rPr>
        <w:t>如下表：</w:t>
      </w:r>
    </w:p>
    <w:p>
      <w:pPr>
        <w:spacing w:line="360" w:lineRule="exact"/>
        <w:jc w:val="right"/>
        <w:rPr>
          <w:rFonts w:ascii="Times New Roman" w:hAnsi="Times New Roman" w:cs="Times New Roman"/>
          <w:kern w:val="0"/>
          <w:sz w:val="20"/>
          <w:szCs w:val="20"/>
        </w:rPr>
      </w:pPr>
      <w:r>
        <w:rPr>
          <w:rFonts w:hint="eastAsia" w:ascii="Times New Roman" w:hAnsi="Times New Roman" w:cs="Times New Roman"/>
          <w:kern w:val="0"/>
          <w:sz w:val="20"/>
          <w:szCs w:val="20"/>
        </w:rPr>
        <w:t>金额单位：万元</w:t>
      </w:r>
    </w:p>
    <w:tbl>
      <w:tblPr>
        <w:tblStyle w:val="14"/>
        <w:tblW w:w="8311" w:type="dxa"/>
        <w:tblInd w:w="113" w:type="dxa"/>
        <w:tblLayout w:type="fixed"/>
        <w:tblCellMar>
          <w:top w:w="0" w:type="dxa"/>
          <w:left w:w="108" w:type="dxa"/>
          <w:bottom w:w="0" w:type="dxa"/>
          <w:right w:w="108" w:type="dxa"/>
        </w:tblCellMar>
      </w:tblPr>
      <w:tblGrid>
        <w:gridCol w:w="2263"/>
        <w:gridCol w:w="1198"/>
        <w:gridCol w:w="1388"/>
        <w:gridCol w:w="1212"/>
        <w:gridCol w:w="1213"/>
        <w:gridCol w:w="1037"/>
      </w:tblGrid>
      <w:tr>
        <w:tblPrEx>
          <w:tblCellMar>
            <w:top w:w="0" w:type="dxa"/>
            <w:left w:w="108" w:type="dxa"/>
            <w:bottom w:w="0" w:type="dxa"/>
            <w:right w:w="108" w:type="dxa"/>
          </w:tblCellMar>
        </w:tblPrEx>
        <w:trPr>
          <w:trHeight w:val="397" w:hRule="atLeast"/>
          <w:tblHeader/>
        </w:trPr>
        <w:tc>
          <w:tcPr>
            <w:tcW w:w="226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cs="宋体"/>
                <w:b/>
                <w:bCs/>
                <w:color w:val="000000"/>
                <w:kern w:val="0"/>
                <w:sz w:val="18"/>
                <w:szCs w:val="18"/>
              </w:rPr>
            </w:pPr>
            <w:r>
              <w:rPr>
                <w:rFonts w:hint="eastAsia" w:ascii="仿宋" w:hAnsi="仿宋" w:cs="宋体"/>
                <w:b/>
                <w:bCs/>
                <w:color w:val="000000"/>
                <w:kern w:val="0"/>
                <w:sz w:val="18"/>
                <w:szCs w:val="18"/>
              </w:rPr>
              <w:t>项目名称</w:t>
            </w:r>
          </w:p>
        </w:tc>
        <w:tc>
          <w:tcPr>
            <w:tcW w:w="1198" w:type="dxa"/>
            <w:tcBorders>
              <w:top w:val="single" w:color="auto" w:sz="4" w:space="0"/>
              <w:left w:val="nil"/>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 w:hAnsi="仿宋" w:cs="宋体"/>
                <w:b/>
                <w:bCs/>
                <w:color w:val="000000"/>
                <w:kern w:val="0"/>
                <w:sz w:val="18"/>
                <w:szCs w:val="18"/>
              </w:rPr>
            </w:pPr>
            <w:r>
              <w:rPr>
                <w:rFonts w:hint="eastAsia" w:ascii="仿宋" w:hAnsi="仿宋" w:cs="宋体"/>
                <w:b/>
                <w:bCs/>
                <w:color w:val="000000"/>
                <w:kern w:val="0"/>
                <w:sz w:val="18"/>
                <w:szCs w:val="18"/>
              </w:rPr>
              <w:t>年初预算</w:t>
            </w:r>
          </w:p>
        </w:tc>
        <w:tc>
          <w:tcPr>
            <w:tcW w:w="1388"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 w:hAnsi="仿宋" w:cs="宋体"/>
                <w:b/>
                <w:bCs/>
                <w:color w:val="000000"/>
                <w:kern w:val="0"/>
                <w:sz w:val="18"/>
                <w:szCs w:val="18"/>
              </w:rPr>
            </w:pPr>
            <w:r>
              <w:rPr>
                <w:rFonts w:hint="eastAsia" w:ascii="仿宋" w:hAnsi="仿宋" w:cs="宋体"/>
                <w:b/>
                <w:bCs/>
                <w:color w:val="000000"/>
                <w:kern w:val="0"/>
                <w:sz w:val="18"/>
                <w:szCs w:val="18"/>
              </w:rPr>
              <w:t>本年决算收入</w:t>
            </w:r>
          </w:p>
        </w:tc>
        <w:tc>
          <w:tcPr>
            <w:tcW w:w="1212"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 w:hAnsi="仿宋" w:cs="宋体"/>
                <w:b/>
                <w:bCs/>
                <w:color w:val="000000"/>
                <w:kern w:val="0"/>
                <w:sz w:val="18"/>
                <w:szCs w:val="18"/>
              </w:rPr>
            </w:pPr>
            <w:r>
              <w:rPr>
                <w:rFonts w:hint="eastAsia" w:ascii="仿宋" w:hAnsi="仿宋" w:cs="宋体"/>
                <w:b/>
                <w:bCs/>
                <w:color w:val="000000"/>
                <w:kern w:val="0"/>
                <w:sz w:val="18"/>
                <w:szCs w:val="18"/>
              </w:rPr>
              <w:t>增加额</w:t>
            </w:r>
          </w:p>
        </w:tc>
        <w:tc>
          <w:tcPr>
            <w:tcW w:w="1213"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 w:hAnsi="仿宋" w:cs="宋体"/>
                <w:b/>
                <w:bCs/>
                <w:color w:val="000000"/>
                <w:kern w:val="0"/>
                <w:sz w:val="18"/>
                <w:szCs w:val="18"/>
              </w:rPr>
            </w:pPr>
            <w:r>
              <w:rPr>
                <w:rFonts w:hint="eastAsia" w:ascii="仿宋" w:hAnsi="仿宋" w:cs="宋体"/>
                <w:b/>
                <w:bCs/>
                <w:color w:val="000000"/>
                <w:kern w:val="0"/>
                <w:sz w:val="18"/>
                <w:szCs w:val="18"/>
              </w:rPr>
              <w:t>增减幅度</w:t>
            </w:r>
          </w:p>
        </w:tc>
        <w:tc>
          <w:tcPr>
            <w:tcW w:w="1037"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 w:hAnsi="仿宋" w:eastAsia="仿宋" w:cs="宋体"/>
                <w:b/>
                <w:bCs/>
                <w:color w:val="000000"/>
                <w:kern w:val="0"/>
                <w:sz w:val="18"/>
                <w:szCs w:val="18"/>
                <w:lang w:eastAsia="zh-CN"/>
              </w:rPr>
            </w:pPr>
            <w:r>
              <w:rPr>
                <w:rFonts w:hint="eastAsia" w:ascii="仿宋" w:hAnsi="仿宋" w:cs="宋体"/>
                <w:b/>
                <w:bCs/>
                <w:color w:val="000000"/>
                <w:kern w:val="0"/>
                <w:sz w:val="18"/>
                <w:szCs w:val="18"/>
                <w:lang w:val="en-US" w:eastAsia="zh-CN"/>
              </w:rPr>
              <w:t>备注</w:t>
            </w:r>
          </w:p>
        </w:tc>
      </w:tr>
      <w:tr>
        <w:trPr>
          <w:trHeight w:val="399" w:hRule="atLeast"/>
        </w:trPr>
        <w:tc>
          <w:tcPr>
            <w:tcW w:w="2263"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 w:hAnsi="仿宋" w:cs="宋体"/>
                <w:color w:val="000000"/>
                <w:kern w:val="0"/>
                <w:sz w:val="18"/>
                <w:szCs w:val="18"/>
              </w:rPr>
            </w:pPr>
            <w:r>
              <w:rPr>
                <w:rFonts w:hint="eastAsia" w:ascii="仿宋" w:hAnsi="仿宋" w:cs="宋体"/>
                <w:color w:val="000000"/>
                <w:kern w:val="0"/>
                <w:sz w:val="18"/>
                <w:szCs w:val="18"/>
              </w:rPr>
              <w:t>一般公共服务支出</w:t>
            </w:r>
          </w:p>
        </w:tc>
        <w:tc>
          <w:tcPr>
            <w:tcW w:w="1198" w:type="dxa"/>
            <w:tcBorders>
              <w:top w:val="nil"/>
              <w:left w:val="nil"/>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115.42</w:t>
            </w:r>
          </w:p>
        </w:tc>
        <w:tc>
          <w:tcPr>
            <w:tcW w:w="1388"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111.10</w:t>
            </w:r>
          </w:p>
        </w:tc>
        <w:tc>
          <w:tcPr>
            <w:tcW w:w="1212"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-4.32</w:t>
            </w:r>
          </w:p>
        </w:tc>
        <w:tc>
          <w:tcPr>
            <w:tcW w:w="1213"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-3.74%</w:t>
            </w:r>
          </w:p>
        </w:tc>
        <w:tc>
          <w:tcPr>
            <w:tcW w:w="1037"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eastAsia" w:ascii="仿宋" w:hAnsi="仿宋" w:cs="仿宋"/>
                <w:b/>
                <w:bCs/>
                <w:color w:val="000000"/>
                <w:kern w:val="0"/>
                <w:sz w:val="18"/>
                <w:szCs w:val="18"/>
              </w:rPr>
            </w:pPr>
          </w:p>
        </w:tc>
      </w:tr>
      <w:tr>
        <w:tblPrEx>
          <w:tblCellMar>
            <w:top w:w="0" w:type="dxa"/>
            <w:left w:w="108" w:type="dxa"/>
            <w:bottom w:w="0" w:type="dxa"/>
            <w:right w:w="108" w:type="dxa"/>
          </w:tblCellMar>
        </w:tblPrEx>
        <w:trPr>
          <w:trHeight w:val="399" w:hRule="atLeast"/>
        </w:trPr>
        <w:tc>
          <w:tcPr>
            <w:tcW w:w="2263"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 w:hAnsi="仿宋" w:cs="宋体"/>
                <w:color w:val="000000"/>
                <w:kern w:val="0"/>
                <w:sz w:val="18"/>
                <w:szCs w:val="18"/>
              </w:rPr>
            </w:pPr>
            <w:r>
              <w:rPr>
                <w:rFonts w:hint="eastAsia" w:ascii="仿宋" w:hAnsi="仿宋" w:cs="宋体"/>
                <w:color w:val="000000"/>
                <w:kern w:val="0"/>
                <w:sz w:val="18"/>
                <w:szCs w:val="18"/>
              </w:rPr>
              <w:t>文化旅游体育与传媒支出</w:t>
            </w:r>
          </w:p>
        </w:tc>
        <w:tc>
          <w:tcPr>
            <w:tcW w:w="1198" w:type="dxa"/>
            <w:tcBorders>
              <w:top w:val="nil"/>
              <w:left w:val="nil"/>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w:t>
            </w:r>
          </w:p>
        </w:tc>
        <w:tc>
          <w:tcPr>
            <w:tcW w:w="1388"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6.00</w:t>
            </w:r>
          </w:p>
        </w:tc>
        <w:tc>
          <w:tcPr>
            <w:tcW w:w="1212"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6.00</w:t>
            </w:r>
          </w:p>
        </w:tc>
        <w:tc>
          <w:tcPr>
            <w:tcW w:w="1213"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color w:val="000000"/>
                <w:kern w:val="0"/>
                <w:sz w:val="18"/>
                <w:szCs w:val="18"/>
                <w:lang w:val="en-US" w:eastAsia="zh-CN"/>
              </w:rPr>
            </w:pPr>
            <w:r>
              <w:rPr>
                <w:rFonts w:hint="eastAsia" w:ascii="仿宋" w:hAnsi="仿宋" w:cs="宋体"/>
                <w:color w:val="000000"/>
                <w:kern w:val="0"/>
                <w:sz w:val="18"/>
                <w:szCs w:val="18"/>
                <w:lang w:val="en-US" w:eastAsia="zh-CN"/>
              </w:rPr>
              <w:t>-</w:t>
            </w:r>
          </w:p>
        </w:tc>
        <w:tc>
          <w:tcPr>
            <w:tcW w:w="1037" w:type="dxa"/>
            <w:tcBorders>
              <w:top w:val="nil"/>
              <w:left w:val="nil"/>
              <w:bottom w:val="single" w:color="auto" w:sz="4" w:space="0"/>
              <w:right w:val="single" w:color="auto" w:sz="4" w:space="0"/>
            </w:tcBorders>
            <w:shd w:val="clear" w:color="auto" w:fill="auto"/>
            <w:noWrap/>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eastAsia" w:ascii="仿宋" w:hAnsi="仿宋" w:cs="仿宋"/>
                <w:b/>
                <w:bCs/>
                <w:color w:val="000000"/>
                <w:kern w:val="0"/>
                <w:sz w:val="18"/>
                <w:szCs w:val="18"/>
              </w:rPr>
            </w:pPr>
          </w:p>
        </w:tc>
      </w:tr>
      <w:tr>
        <w:trPr>
          <w:trHeight w:val="399" w:hRule="atLeast"/>
        </w:trPr>
        <w:tc>
          <w:tcPr>
            <w:tcW w:w="2263"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cs="宋体"/>
                <w:b/>
                <w:bCs/>
                <w:color w:val="000000"/>
                <w:kern w:val="0"/>
                <w:sz w:val="18"/>
                <w:szCs w:val="18"/>
              </w:rPr>
            </w:pPr>
            <w:r>
              <w:rPr>
                <w:rFonts w:hint="eastAsia" w:ascii="仿宋" w:hAnsi="仿宋" w:cs="宋体"/>
                <w:b/>
                <w:bCs/>
                <w:color w:val="000000"/>
                <w:kern w:val="0"/>
                <w:sz w:val="18"/>
                <w:szCs w:val="18"/>
              </w:rPr>
              <w:t>合计</w:t>
            </w:r>
          </w:p>
        </w:tc>
        <w:tc>
          <w:tcPr>
            <w:tcW w:w="119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b/>
                <w:bCs/>
                <w:color w:val="000000"/>
                <w:kern w:val="0"/>
                <w:sz w:val="18"/>
                <w:szCs w:val="18"/>
                <w:lang w:val="en-US" w:eastAsia="zh-CN"/>
              </w:rPr>
            </w:pPr>
            <w:r>
              <w:rPr>
                <w:rFonts w:hint="eastAsia" w:ascii="仿宋" w:hAnsi="仿宋" w:cs="宋体"/>
                <w:b/>
                <w:bCs/>
                <w:color w:val="000000"/>
                <w:kern w:val="0"/>
                <w:sz w:val="18"/>
                <w:szCs w:val="18"/>
                <w:lang w:val="en-US" w:eastAsia="zh-CN"/>
              </w:rPr>
              <w:t>115.42</w:t>
            </w:r>
          </w:p>
        </w:tc>
        <w:tc>
          <w:tcPr>
            <w:tcW w:w="138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eastAsia="仿宋" w:cs="宋体"/>
                <w:b/>
                <w:bCs/>
                <w:color w:val="000000"/>
                <w:kern w:val="0"/>
                <w:sz w:val="18"/>
                <w:szCs w:val="18"/>
                <w:lang w:val="en-US" w:eastAsia="zh-CN"/>
              </w:rPr>
            </w:pPr>
            <w:r>
              <w:rPr>
                <w:rFonts w:hint="eastAsia" w:ascii="仿宋" w:hAnsi="仿宋" w:cs="宋体"/>
                <w:b/>
                <w:bCs/>
                <w:color w:val="000000"/>
                <w:kern w:val="0"/>
                <w:sz w:val="18"/>
                <w:szCs w:val="18"/>
                <w:lang w:val="en-US" w:eastAsia="zh-CN"/>
              </w:rPr>
              <w:t>117.10</w:t>
            </w:r>
          </w:p>
        </w:tc>
        <w:tc>
          <w:tcPr>
            <w:tcW w:w="121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default" w:ascii="仿宋" w:hAnsi="仿宋" w:cs="宋体"/>
                <w:b/>
                <w:bCs/>
                <w:color w:val="000000"/>
                <w:kern w:val="0"/>
                <w:sz w:val="18"/>
                <w:szCs w:val="18"/>
                <w:lang w:val="en-US" w:eastAsia="zh-CN"/>
              </w:rPr>
            </w:pPr>
            <w:r>
              <w:rPr>
                <w:rFonts w:hint="eastAsia" w:ascii="仿宋" w:hAnsi="仿宋" w:cs="宋体"/>
                <w:b/>
                <w:bCs/>
                <w:color w:val="000000"/>
                <w:kern w:val="0"/>
                <w:sz w:val="18"/>
                <w:szCs w:val="18"/>
                <w:lang w:val="en-US" w:eastAsia="zh-CN"/>
              </w:rPr>
              <w:t>1.68</w:t>
            </w:r>
          </w:p>
        </w:tc>
        <w:tc>
          <w:tcPr>
            <w:tcW w:w="1213"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eastAsia" w:ascii="仿宋" w:hAnsi="仿宋" w:cs="宋体"/>
                <w:b/>
                <w:bCs/>
                <w:color w:val="000000"/>
                <w:kern w:val="0"/>
                <w:sz w:val="18"/>
                <w:szCs w:val="18"/>
                <w:lang w:val="en-US" w:eastAsia="zh-CN"/>
              </w:rPr>
            </w:pPr>
            <w:r>
              <w:rPr>
                <w:rFonts w:hint="eastAsia" w:ascii="仿宋" w:hAnsi="仿宋" w:cs="宋体"/>
                <w:b/>
                <w:bCs/>
                <w:color w:val="000000"/>
                <w:kern w:val="0"/>
                <w:sz w:val="18"/>
                <w:szCs w:val="18"/>
                <w:lang w:val="en-US" w:eastAsia="zh-CN"/>
              </w:rPr>
              <w:t>1.46%</w:t>
            </w:r>
          </w:p>
        </w:tc>
        <w:tc>
          <w:tcPr>
            <w:tcW w:w="1037" w:type="dxa"/>
            <w:tcBorders>
              <w:top w:val="nil"/>
              <w:left w:val="nil"/>
              <w:bottom w:val="single" w:color="auto" w:sz="4" w:space="0"/>
              <w:right w:val="single" w:color="auto" w:sz="4" w:space="0"/>
            </w:tcBorders>
            <w:shd w:val="clear" w:color="auto" w:fill="auto"/>
            <w:noWrap/>
          </w:tcPr>
          <w:p>
            <w:pPr>
              <w:keepNext w:val="0"/>
              <w:keepLines w:val="0"/>
              <w:pageBreakBefore w:val="0"/>
              <w:widowControl/>
              <w:kinsoku/>
              <w:wordWrap/>
              <w:overflowPunct/>
              <w:topLinePunct w:val="0"/>
              <w:autoSpaceDE/>
              <w:autoSpaceDN/>
              <w:bidi w:val="0"/>
              <w:adjustRightInd/>
              <w:snapToGrid/>
              <w:spacing w:line="200" w:lineRule="exact"/>
              <w:jc w:val="right"/>
              <w:textAlignment w:val="auto"/>
              <w:rPr>
                <w:rFonts w:hint="eastAsia" w:ascii="仿宋" w:hAnsi="仿宋" w:cs="仿宋"/>
                <w:b/>
                <w:bCs/>
                <w:color w:val="000000"/>
                <w:kern w:val="0"/>
                <w:sz w:val="18"/>
                <w:szCs w:val="18"/>
              </w:rPr>
            </w:pPr>
          </w:p>
        </w:tc>
      </w:tr>
      <w:bookmarkEnd w:id="3"/>
    </w:tbl>
    <w:p>
      <w:pPr>
        <w:spacing w:line="600" w:lineRule="exact"/>
        <w:ind w:firstLine="643" w:firstLineChars="200"/>
        <w:outlineLvl w:val="2"/>
        <w:rPr>
          <w:rFonts w:ascii="楷体" w:hAnsi="楷体" w:eastAsia="楷体" w:cs="楷体"/>
          <w:b/>
          <w:bCs/>
          <w:szCs w:val="32"/>
        </w:rPr>
      </w:pPr>
      <w:r>
        <w:rPr>
          <w:rFonts w:hint="eastAsia" w:ascii="楷体" w:hAnsi="楷体" w:eastAsia="楷体" w:cs="楷体"/>
          <w:b/>
          <w:bCs/>
          <w:szCs w:val="32"/>
        </w:rPr>
        <w:t>3、项目资金管理情况分析</w:t>
      </w:r>
    </w:p>
    <w:p>
      <w:pPr>
        <w:spacing w:line="560" w:lineRule="exact"/>
        <w:ind w:firstLine="640" w:firstLineChars="200"/>
        <w:contextualSpacing/>
        <w:outlineLvl w:val="1"/>
        <w:rPr>
          <w:rFonts w:ascii="仿宋_GB2312" w:hAnsi="Times New Roman" w:eastAsia="仿宋_GB2312" w:cs="Times New Roman"/>
          <w:bCs/>
          <w:szCs w:val="32"/>
        </w:rPr>
      </w:pPr>
      <w:r>
        <w:rPr>
          <w:rFonts w:hint="eastAsia" w:ascii="楷体" w:hAnsi="楷体" w:eastAsia="楷体" w:cs="楷体"/>
          <w:bCs/>
          <w:szCs w:val="32"/>
        </w:rPr>
        <w:t>（1）项目资金使用情况。</w:t>
      </w:r>
      <w:r>
        <w:rPr>
          <w:rFonts w:hint="eastAsia" w:ascii="仿宋_GB2312" w:hAnsi="Times New Roman" w:eastAsia="仿宋_GB2312" w:cs="Times New Roman"/>
          <w:bCs/>
          <w:szCs w:val="32"/>
        </w:rPr>
        <w:t>为加强和规范财政专项资金管理，提高财政专项资金使用效益，有效发挥财政专项资金的导向和激励作用，</w:t>
      </w:r>
      <w:r>
        <w:rPr>
          <w:rFonts w:hint="eastAsia" w:ascii="仿宋_GB2312" w:hAnsi="Times New Roman" w:eastAsia="仿宋_GB2312" w:cs="Times New Roman"/>
          <w:bCs/>
          <w:szCs w:val="32"/>
          <w:lang w:val="en-US" w:eastAsia="zh-CN"/>
        </w:rPr>
        <w:t>我单位</w:t>
      </w:r>
      <w:r>
        <w:rPr>
          <w:rFonts w:hint="eastAsia" w:ascii="仿宋_GB2312" w:hAnsi="Times New Roman" w:eastAsia="仿宋_GB2312" w:cs="Times New Roman"/>
          <w:bCs/>
          <w:szCs w:val="32"/>
        </w:rPr>
        <w:t>结合单位实际，</w:t>
      </w:r>
      <w:r>
        <w:rPr>
          <w:rFonts w:hint="eastAsia" w:ascii="仿宋_GB2312" w:hAnsi="Times New Roman" w:eastAsia="仿宋_GB2312" w:cs="Times New Roman"/>
          <w:bCs/>
          <w:szCs w:val="32"/>
          <w:lang w:val="en-US" w:eastAsia="zh-CN"/>
        </w:rPr>
        <w:t>按照</w:t>
      </w:r>
      <w:r>
        <w:rPr>
          <w:rFonts w:hint="eastAsia" w:ascii="仿宋_GB2312" w:hAnsi="Times New Roman" w:eastAsia="仿宋_GB2312" w:cs="Times New Roman"/>
          <w:bCs/>
          <w:szCs w:val="32"/>
        </w:rPr>
        <w:t>各专项资金管理办法等相关规定，对项目资金进行管理。根据各专项的特点，</w:t>
      </w:r>
      <w:r>
        <w:rPr>
          <w:rFonts w:hint="eastAsia" w:ascii="仿宋_GB2312" w:hAnsi="Times New Roman" w:eastAsia="仿宋_GB2312" w:cs="Times New Roman"/>
          <w:bCs/>
          <w:szCs w:val="32"/>
          <w:lang w:val="en-US" w:eastAsia="zh-CN"/>
        </w:rPr>
        <w:t>团市委</w:t>
      </w:r>
      <w:r>
        <w:rPr>
          <w:rFonts w:hint="eastAsia" w:ascii="仿宋_GB2312" w:hAnsi="Times New Roman" w:eastAsia="仿宋_GB2312" w:cs="Times New Roman"/>
          <w:bCs/>
          <w:szCs w:val="32"/>
        </w:rPr>
        <w:t>相关业务</w:t>
      </w:r>
      <w:r>
        <w:rPr>
          <w:rFonts w:hint="eastAsia" w:ascii="仿宋_GB2312" w:hAnsi="Times New Roman" w:eastAsia="仿宋_GB2312" w:cs="Times New Roman"/>
          <w:bCs/>
          <w:szCs w:val="32"/>
          <w:lang w:val="en-US" w:eastAsia="zh-CN"/>
        </w:rPr>
        <w:t>站所</w:t>
      </w:r>
      <w:r>
        <w:rPr>
          <w:rFonts w:hint="eastAsia" w:ascii="仿宋_GB2312" w:hAnsi="Times New Roman" w:eastAsia="仿宋_GB2312" w:cs="Times New Roman"/>
          <w:bCs/>
          <w:szCs w:val="32"/>
        </w:rPr>
        <w:t>按规范、公开、透明的原则制定了具体的管理办法或实施细则，明确专项资金的绩效目标、使用范围和对象、管理职责、分配办法、申报条件及审批程序、存续期限和监督评价、责任追究等内容。在项目实施过程中，各项管理制度基本执行到位。</w:t>
      </w:r>
    </w:p>
    <w:p>
      <w:pPr>
        <w:spacing w:line="560" w:lineRule="exact"/>
        <w:ind w:firstLine="640" w:firstLineChars="200"/>
        <w:contextualSpacing/>
        <w:outlineLvl w:val="1"/>
        <w:rPr>
          <w:rFonts w:ascii="仿宋_GB2312" w:hAnsi="Times New Roman" w:eastAsia="仿宋_GB2312" w:cs="Times New Roman"/>
          <w:bCs/>
          <w:szCs w:val="32"/>
        </w:rPr>
      </w:pPr>
      <w:r>
        <w:rPr>
          <w:rFonts w:hint="eastAsia" w:ascii="楷体" w:hAnsi="楷体" w:eastAsia="楷体" w:cs="楷体"/>
          <w:bCs/>
          <w:szCs w:val="32"/>
        </w:rPr>
        <w:t>（2）项目管理情况。</w:t>
      </w:r>
      <w:r>
        <w:rPr>
          <w:rFonts w:hint="eastAsia" w:ascii="Times New Roman" w:hAnsi="Times New Roman" w:eastAsia="仿宋_GB2312" w:cs="Times New Roman"/>
          <w:szCs w:val="32"/>
          <w:lang w:eastAsia="zh-CN"/>
        </w:rPr>
        <w:t>团市委</w:t>
      </w:r>
      <w:r>
        <w:rPr>
          <w:rFonts w:hint="eastAsia" w:ascii="仿宋_GB2312" w:hAnsi="Times New Roman" w:eastAsia="仿宋_GB2312" w:cs="Times New Roman"/>
          <w:bCs/>
          <w:szCs w:val="32"/>
        </w:rPr>
        <w:t>项目实施严格管理，对工程方案提出要求，以提高工程施工的效率和质量，保障施工进程有序、按时、合规。在日常管理中实行考核计分，采取日常检查计分和综合考评计分进行，其中日常检查设100分，实行倒扣分制；在重要迎检评比工作中表现突出的，可适当加分；年度综合考评根据日常计分和居民满意度测评得出结果。工程评价分为优秀、良好、合格及不合格等次。从考核实施及考核结果来看，项目实施过程中，考核机制能有效规范各承包人的工程建设，便于日常管控，发挥财政资金的最大效益化。</w:t>
      </w:r>
    </w:p>
    <w:p>
      <w:pPr>
        <w:numPr>
          <w:ilvl w:val="255"/>
          <w:numId w:val="0"/>
        </w:numPr>
        <w:spacing w:before="144" w:beforeLines="25" w:line="560" w:lineRule="exact"/>
        <w:ind w:firstLine="643" w:firstLineChars="200"/>
        <w:outlineLvl w:val="0"/>
        <w:rPr>
          <w:rFonts w:ascii="楷体" w:hAnsi="楷体" w:eastAsia="楷体" w:cs="楷体"/>
          <w:b/>
          <w:bCs/>
          <w:szCs w:val="32"/>
        </w:rPr>
      </w:pPr>
      <w:r>
        <w:rPr>
          <w:rFonts w:hint="eastAsia" w:ascii="楷体" w:hAnsi="楷体" w:eastAsia="楷体" w:cs="楷体"/>
          <w:b/>
          <w:bCs/>
          <w:szCs w:val="32"/>
        </w:rPr>
        <w:t>三、项目组织实施情况</w:t>
      </w:r>
    </w:p>
    <w:p>
      <w:pPr>
        <w:spacing w:line="560" w:lineRule="exact"/>
        <w:ind w:firstLine="643" w:firstLineChars="200"/>
        <w:outlineLvl w:val="1"/>
        <w:rPr>
          <w:rFonts w:ascii="楷体" w:hAnsi="楷体" w:eastAsia="楷体" w:cs="楷体"/>
          <w:b/>
          <w:bCs/>
          <w:szCs w:val="32"/>
          <w:highlight w:val="none"/>
        </w:rPr>
      </w:pPr>
      <w:r>
        <w:rPr>
          <w:rFonts w:hint="eastAsia" w:ascii="楷体" w:hAnsi="楷体" w:eastAsia="楷体" w:cs="楷体"/>
          <w:b/>
          <w:bCs/>
          <w:szCs w:val="32"/>
          <w:highlight w:val="none"/>
        </w:rPr>
        <w:t>1、项目组织情况分析</w:t>
      </w:r>
    </w:p>
    <w:p>
      <w:pPr>
        <w:widowControl/>
        <w:shd w:val="clear" w:color="auto" w:fill="FFFFFF"/>
        <w:spacing w:line="600" w:lineRule="exact"/>
        <w:ind w:firstLine="640" w:firstLineChars="200"/>
        <w:jc w:val="left"/>
        <w:textAlignment w:val="baseline"/>
        <w:rPr>
          <w:rFonts w:hint="default" w:ascii="仿宋_GB2312" w:hAnsi="Times New Roman" w:eastAsia="仿宋_GB2312" w:cs="Times New Roman"/>
          <w:bCs/>
          <w:color w:val="0000FF"/>
          <w:szCs w:val="32"/>
          <w:lang w:val="en-US" w:eastAsia="zh-CN"/>
        </w:rPr>
      </w:pPr>
      <w:r>
        <w:rPr>
          <w:rFonts w:hint="eastAsia" w:ascii="Times New Roman" w:hAnsi="Times New Roman" w:eastAsia="仿宋_GB2312" w:cs="Times New Roman"/>
          <w:szCs w:val="32"/>
          <w:highlight w:val="none"/>
          <w:lang w:val="en-US" w:eastAsia="zh-CN"/>
        </w:rPr>
        <w:t>2022年，团市委项目采购及实施严格按照《湖南省财政厅关于印发&lt;湖南省政府采购电子卖场管理办法&gt;的通知》（湘财购</w:t>
      </w:r>
      <w:r>
        <w:rPr>
          <w:rFonts w:hint="eastAsia" w:ascii="仿宋" w:hAnsi="仿宋" w:eastAsia="仿宋" w:cs="仿宋"/>
          <w:szCs w:val="32"/>
          <w:highlight w:val="none"/>
          <w:lang w:val="en-US" w:eastAsia="zh-CN"/>
        </w:rPr>
        <w:t>〔</w:t>
      </w:r>
      <w:r>
        <w:rPr>
          <w:rFonts w:hint="eastAsia" w:ascii="仿宋" w:hAnsi="仿宋" w:cs="仿宋"/>
          <w:szCs w:val="32"/>
          <w:highlight w:val="none"/>
          <w:lang w:val="en-US" w:eastAsia="zh-CN"/>
        </w:rPr>
        <w:t>2019</w:t>
      </w:r>
      <w:r>
        <w:rPr>
          <w:rFonts w:hint="eastAsia" w:ascii="仿宋" w:hAnsi="仿宋" w:eastAsia="仿宋" w:cs="仿宋"/>
          <w:szCs w:val="32"/>
          <w:highlight w:val="none"/>
          <w:lang w:val="en-US" w:eastAsia="zh-CN"/>
        </w:rPr>
        <w:t>〕</w:t>
      </w:r>
      <w:r>
        <w:rPr>
          <w:rFonts w:hint="eastAsia" w:ascii="仿宋" w:hAnsi="仿宋" w:cs="仿宋"/>
          <w:szCs w:val="32"/>
          <w:highlight w:val="none"/>
          <w:lang w:val="en-US" w:eastAsia="zh-CN"/>
        </w:rPr>
        <w:t>27号</w:t>
      </w:r>
      <w:r>
        <w:rPr>
          <w:rFonts w:hint="eastAsia" w:ascii="Times New Roman" w:hAnsi="Times New Roman" w:eastAsia="仿宋_GB2312" w:cs="Times New Roman"/>
          <w:szCs w:val="32"/>
          <w:highlight w:val="none"/>
          <w:lang w:val="en-US" w:eastAsia="zh-CN"/>
        </w:rPr>
        <w:t>）、《湖南省财政厅关于进一步加强政府采购需求管理的通知》（湘财购</w:t>
      </w:r>
      <w:r>
        <w:rPr>
          <w:rFonts w:hint="eastAsia" w:ascii="仿宋" w:hAnsi="仿宋" w:eastAsia="仿宋" w:cs="仿宋"/>
          <w:szCs w:val="32"/>
          <w:highlight w:val="none"/>
          <w:lang w:val="en-US" w:eastAsia="zh-CN"/>
        </w:rPr>
        <w:t>〔</w:t>
      </w:r>
      <w:r>
        <w:rPr>
          <w:rFonts w:hint="eastAsia" w:ascii="仿宋" w:hAnsi="仿宋" w:cs="仿宋"/>
          <w:szCs w:val="32"/>
          <w:highlight w:val="none"/>
          <w:lang w:val="en-US" w:eastAsia="zh-CN"/>
        </w:rPr>
        <w:t>2022</w:t>
      </w:r>
      <w:r>
        <w:rPr>
          <w:rFonts w:hint="eastAsia" w:ascii="仿宋" w:hAnsi="仿宋" w:eastAsia="仿宋" w:cs="仿宋"/>
          <w:szCs w:val="32"/>
          <w:highlight w:val="none"/>
          <w:lang w:val="en-US" w:eastAsia="zh-CN"/>
        </w:rPr>
        <w:t>〕</w:t>
      </w:r>
      <w:r>
        <w:rPr>
          <w:rFonts w:hint="eastAsia" w:ascii="仿宋" w:hAnsi="仿宋" w:cs="仿宋"/>
          <w:szCs w:val="32"/>
          <w:highlight w:val="none"/>
          <w:lang w:val="en-US" w:eastAsia="zh-CN"/>
        </w:rPr>
        <w:t>35号</w:t>
      </w:r>
      <w:r>
        <w:rPr>
          <w:rFonts w:hint="eastAsia" w:ascii="Times New Roman" w:hAnsi="Times New Roman" w:eastAsia="仿宋_GB2312" w:cs="Times New Roman"/>
          <w:szCs w:val="32"/>
          <w:highlight w:val="none"/>
          <w:lang w:val="en-US" w:eastAsia="zh-CN"/>
        </w:rPr>
        <w:t>）以及《长沙市人民政府办公厅关于印发2022-2023年度政府集中采购目录及政府采购限额标准的通知》（长政办函</w:t>
      </w:r>
      <w:r>
        <w:rPr>
          <w:rFonts w:hint="eastAsia" w:ascii="仿宋" w:hAnsi="仿宋" w:eastAsia="仿宋" w:cs="仿宋"/>
          <w:szCs w:val="32"/>
          <w:highlight w:val="none"/>
          <w:lang w:val="en-US" w:eastAsia="zh-CN"/>
        </w:rPr>
        <w:t>〔</w:t>
      </w:r>
      <w:r>
        <w:rPr>
          <w:rFonts w:hint="eastAsia" w:ascii="仿宋" w:hAnsi="仿宋" w:cs="仿宋"/>
          <w:szCs w:val="32"/>
          <w:highlight w:val="none"/>
          <w:lang w:val="en-US" w:eastAsia="zh-CN"/>
        </w:rPr>
        <w:t>2021</w:t>
      </w:r>
      <w:r>
        <w:rPr>
          <w:rFonts w:hint="eastAsia" w:ascii="仿宋" w:hAnsi="仿宋" w:eastAsia="仿宋" w:cs="仿宋"/>
          <w:szCs w:val="32"/>
          <w:highlight w:val="none"/>
          <w:lang w:val="en-US" w:eastAsia="zh-CN"/>
        </w:rPr>
        <w:t>〕</w:t>
      </w:r>
      <w:r>
        <w:rPr>
          <w:rFonts w:hint="eastAsia" w:ascii="仿宋" w:hAnsi="仿宋" w:cs="仿宋"/>
          <w:szCs w:val="32"/>
          <w:highlight w:val="none"/>
          <w:lang w:val="en-US" w:eastAsia="zh-CN"/>
        </w:rPr>
        <w:t>60号</w:t>
      </w:r>
      <w:r>
        <w:rPr>
          <w:rFonts w:hint="eastAsia" w:ascii="Times New Roman" w:hAnsi="Times New Roman" w:eastAsia="仿宋_GB2312" w:cs="Times New Roman"/>
          <w:szCs w:val="32"/>
          <w:highlight w:val="none"/>
          <w:lang w:val="en-US" w:eastAsia="zh-CN"/>
        </w:rPr>
        <w:t>）等规定执行，项目支出均遵循先预算、再审批、后支出的原则，凡属于政府集中采购目录内的商品、服务全部通过省电子卖场进行采购，确保了财政资金使用和财政审批程序合法、保证了项目资金的合理使用。</w:t>
      </w:r>
    </w:p>
    <w:p>
      <w:p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rPr>
        <w:t>2、项目管理情况分析</w:t>
      </w:r>
    </w:p>
    <w:p>
      <w:pPr>
        <w:numPr>
          <w:ilvl w:val="255"/>
          <w:numId w:val="0"/>
        </w:numPr>
        <w:spacing w:line="56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为加强</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项目管理，提高内部控制管理水平，</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 xml:space="preserve">制定了相关制度，项目财务管理严格按照相关法律法规、财经纪律、财务规章制度和预（决）算、政府采购、国库集中支付、专项资金等管理办法和操作规程执行。项目资金的支付符合国家财经法规和财务管理制度规定，项目资金拨付有完整的审批程序和手续，符合部门预算批复的用途并按规定内容予以公开。 </w:t>
      </w:r>
    </w:p>
    <w:p>
      <w:pPr>
        <w:numPr>
          <w:ilvl w:val="255"/>
          <w:numId w:val="0"/>
        </w:numPr>
        <w:spacing w:before="144" w:beforeLines="25" w:line="560" w:lineRule="exact"/>
        <w:ind w:firstLine="643" w:firstLineChars="200"/>
        <w:outlineLvl w:val="0"/>
        <w:rPr>
          <w:rFonts w:ascii="楷体" w:hAnsi="楷体" w:eastAsia="楷体" w:cs="楷体"/>
          <w:b/>
          <w:bCs/>
          <w:szCs w:val="32"/>
        </w:rPr>
      </w:pPr>
      <w:r>
        <w:rPr>
          <w:rFonts w:hint="eastAsia" w:ascii="楷体" w:hAnsi="楷体" w:eastAsia="楷体" w:cs="楷体"/>
          <w:b/>
          <w:bCs/>
          <w:szCs w:val="32"/>
        </w:rPr>
        <w:t xml:space="preserve">四、资产管理情况 </w:t>
      </w:r>
    </w:p>
    <w:p>
      <w:pPr>
        <w:spacing w:line="560" w:lineRule="exact"/>
        <w:ind w:firstLine="643" w:firstLineChars="200"/>
        <w:outlineLvl w:val="1"/>
        <w:rPr>
          <w:rFonts w:hint="eastAsia" w:ascii="楷体" w:hAnsi="楷体" w:eastAsia="楷体" w:cs="楷体"/>
          <w:b/>
          <w:bCs/>
          <w:szCs w:val="32"/>
        </w:rPr>
      </w:pPr>
      <w:r>
        <w:rPr>
          <w:rFonts w:hint="eastAsia" w:ascii="楷体" w:hAnsi="楷体" w:eastAsia="楷体" w:cs="楷体"/>
          <w:b/>
          <w:bCs/>
          <w:szCs w:val="32"/>
        </w:rPr>
        <w:t>（一）制度建设情况</w:t>
      </w:r>
    </w:p>
    <w:p>
      <w:pPr>
        <w:spacing w:line="560" w:lineRule="exact"/>
        <w:ind w:firstLine="640" w:firstLineChars="200"/>
        <w:outlineLvl w:val="2"/>
        <w:rPr>
          <w:rFonts w:hint="eastAsia" w:ascii="Times New Roman" w:hAnsi="Times New Roman" w:eastAsia="仿宋_GB2312" w:cs="Times New Roman"/>
          <w:szCs w:val="32"/>
        </w:rPr>
      </w:pPr>
      <w:r>
        <w:rPr>
          <w:rFonts w:hint="eastAsia" w:ascii="Times New Roman" w:hAnsi="Times New Roman" w:eastAsia="仿宋_GB2312" w:cs="Times New Roman"/>
          <w:szCs w:val="32"/>
        </w:rPr>
        <w:t>为规范</w:t>
      </w:r>
      <w:r>
        <w:rPr>
          <w:rFonts w:hint="eastAsia" w:ascii="Times New Roman" w:hAnsi="Times New Roman" w:eastAsia="仿宋_GB2312" w:cs="Times New Roman"/>
          <w:szCs w:val="32"/>
          <w:lang w:eastAsia="zh-CN"/>
        </w:rPr>
        <w:t>团市委</w:t>
      </w:r>
      <w:r>
        <w:rPr>
          <w:rFonts w:hint="eastAsia" w:ascii="Times New Roman" w:hAnsi="Times New Roman" w:eastAsia="仿宋_GB2312" w:cs="Times New Roman"/>
          <w:szCs w:val="32"/>
        </w:rPr>
        <w:t>资产管理，有效配置资源，提高资产的使用效益，保证资产的安全完整，促进各项事业健康发展，</w:t>
      </w:r>
      <w:r>
        <w:rPr>
          <w:rFonts w:hint="eastAsia" w:ascii="Times New Roman" w:hAnsi="Times New Roman" w:eastAsia="仿宋_GB2312" w:cs="Times New Roman"/>
          <w:szCs w:val="32"/>
          <w:lang w:eastAsia="zh-CN"/>
        </w:rPr>
        <w:t>团市委</w:t>
      </w:r>
      <w:r>
        <w:rPr>
          <w:rFonts w:hint="eastAsia" w:ascii="Times New Roman" w:hAnsi="Times New Roman" w:eastAsia="仿宋_GB2312" w:cs="Times New Roman"/>
          <w:szCs w:val="32"/>
        </w:rPr>
        <w:t>制定了《固定资产管理制度》并建立了规范的固定资产台账，对资产实行分类编号管理并张贴标签，定期进行资产盘点，及时记录、更新资产异动情况，确保账实相符、账卡相符。</w:t>
      </w:r>
    </w:p>
    <w:p>
      <w:pPr>
        <w:spacing w:line="560" w:lineRule="exact"/>
        <w:ind w:firstLine="643" w:firstLineChars="200"/>
        <w:outlineLvl w:val="1"/>
        <w:rPr>
          <w:rFonts w:hint="default" w:ascii="楷体" w:hAnsi="楷体" w:eastAsia="楷体" w:cs="楷体"/>
          <w:b/>
          <w:bCs/>
          <w:szCs w:val="32"/>
          <w:lang w:val="en-US" w:eastAsia="zh-CN"/>
        </w:rPr>
      </w:pPr>
      <w:r>
        <w:rPr>
          <w:rFonts w:hint="eastAsia" w:ascii="楷体" w:hAnsi="楷体" w:eastAsia="楷体" w:cs="楷体"/>
          <w:b/>
          <w:bCs/>
          <w:szCs w:val="32"/>
        </w:rPr>
        <w:t>（</w:t>
      </w:r>
      <w:r>
        <w:rPr>
          <w:rFonts w:hint="eastAsia" w:ascii="楷体" w:hAnsi="楷体" w:eastAsia="楷体" w:cs="楷体"/>
          <w:b/>
          <w:bCs/>
          <w:szCs w:val="32"/>
          <w:lang w:val="en-US" w:eastAsia="zh-CN"/>
        </w:rPr>
        <w:t>二</w:t>
      </w:r>
      <w:r>
        <w:rPr>
          <w:rFonts w:hint="eastAsia" w:ascii="楷体" w:hAnsi="楷体" w:eastAsia="楷体" w:cs="楷体"/>
          <w:b/>
          <w:bCs/>
          <w:szCs w:val="32"/>
        </w:rPr>
        <w:t>）制度</w:t>
      </w:r>
      <w:r>
        <w:rPr>
          <w:rFonts w:hint="eastAsia" w:ascii="楷体" w:hAnsi="楷体" w:eastAsia="楷体" w:cs="楷体"/>
          <w:b/>
          <w:bCs/>
          <w:szCs w:val="32"/>
          <w:lang w:val="en-US" w:eastAsia="zh-CN"/>
        </w:rPr>
        <w:t>管理措施</w:t>
      </w:r>
    </w:p>
    <w:p>
      <w:pPr>
        <w:spacing w:line="560" w:lineRule="exact"/>
        <w:ind w:firstLine="640" w:firstLineChars="200"/>
        <w:outlineLvl w:val="2"/>
        <w:rPr>
          <w:rFonts w:ascii="Times New Roman" w:hAnsi="Times New Roman" w:eastAsia="仿宋_GB2312" w:cs="Times New Roman"/>
          <w:szCs w:val="32"/>
        </w:rPr>
      </w:pP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资产管理严格按照《长沙市市级行政事业单位国有资产使用管理规定》（长财资产〔2019〕75号）执行，资产的购置、验收、入账、领用均按严格管理制度执行，落实相关资产管理人员和使用人员的职责。在资产处置方面，按照《行政事业单位国有资产管理实施办法》的规定，履行相应的审批手续，无私自违规处置资产的现象。</w:t>
      </w:r>
    </w:p>
    <w:p>
      <w:pPr>
        <w:spacing w:line="560" w:lineRule="exact"/>
        <w:ind w:firstLine="643" w:firstLineChars="200"/>
        <w:outlineLvl w:val="1"/>
        <w:rPr>
          <w:rFonts w:hint="default" w:ascii="楷体" w:hAnsi="楷体" w:eastAsia="楷体" w:cs="楷体"/>
          <w:b/>
          <w:bCs/>
          <w:szCs w:val="32"/>
          <w:lang w:val="en-US" w:eastAsia="zh-CN"/>
        </w:rPr>
      </w:pPr>
      <w:r>
        <w:rPr>
          <w:rFonts w:hint="eastAsia" w:ascii="楷体" w:hAnsi="楷体" w:eastAsia="楷体" w:cs="楷体"/>
          <w:b/>
          <w:bCs/>
          <w:szCs w:val="32"/>
        </w:rPr>
        <w:t>（</w:t>
      </w:r>
      <w:r>
        <w:rPr>
          <w:rFonts w:hint="eastAsia" w:ascii="楷体" w:hAnsi="楷体" w:eastAsia="楷体" w:cs="楷体"/>
          <w:b/>
          <w:bCs/>
          <w:szCs w:val="32"/>
          <w:lang w:val="en-US" w:eastAsia="zh-CN"/>
        </w:rPr>
        <w:t>三</w:t>
      </w:r>
      <w:r>
        <w:rPr>
          <w:rFonts w:hint="eastAsia" w:ascii="楷体" w:hAnsi="楷体" w:eastAsia="楷体" w:cs="楷体"/>
          <w:b/>
          <w:bCs/>
          <w:szCs w:val="32"/>
        </w:rPr>
        <w:t>）</w:t>
      </w:r>
      <w:r>
        <w:rPr>
          <w:rFonts w:hint="eastAsia" w:ascii="楷体" w:hAnsi="楷体" w:eastAsia="楷体" w:cs="楷体"/>
          <w:b/>
          <w:bCs/>
          <w:szCs w:val="32"/>
          <w:lang w:val="en-US" w:eastAsia="zh-CN"/>
        </w:rPr>
        <w:t>资产配置及处置情况</w:t>
      </w:r>
    </w:p>
    <w:p>
      <w:pPr>
        <w:spacing w:line="560" w:lineRule="exact"/>
        <w:ind w:firstLine="640" w:firstLineChars="200"/>
        <w:outlineLvl w:val="2"/>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团市委资产配置严格执行《长沙市市级行政事业单位国有资产配置管理规定》（长财资产〔2018〕32号）、《长沙市市级行政事业单位通用资产配置标准》（长财资产〔2018〕33号）及《浏阳市行政事业单位通用资产配置标准》（浏财函〔2018〕113号）等相关文件规定。所有固定资产均纳入资产管理信息系统管理，每年在资产信息系统中与预算同步申报下一年度的资产配置计划。</w:t>
      </w:r>
    </w:p>
    <w:p>
      <w:pPr>
        <w:spacing w:line="560" w:lineRule="exact"/>
        <w:ind w:firstLine="640" w:firstLineChars="200"/>
        <w:outlineLvl w:val="2"/>
      </w:pPr>
      <w:r>
        <w:rPr>
          <w:rFonts w:hint="eastAsia" w:ascii="楷体" w:hAnsi="楷体" w:eastAsia="楷体" w:cs="楷体"/>
          <w:szCs w:val="32"/>
          <w:lang w:val="en-US" w:eastAsia="zh-CN"/>
        </w:rPr>
        <w:t>1、资产配置。</w:t>
      </w:r>
      <w:r>
        <w:rPr>
          <w:rFonts w:hint="eastAsia" w:ascii="Times New Roman" w:hAnsi="Times New Roman" w:eastAsia="仿宋_GB2312" w:cs="Times New Roman"/>
          <w:szCs w:val="32"/>
        </w:rPr>
        <w:t>截至2022年12月31日单位资产合计数</w:t>
      </w:r>
      <w:r>
        <w:rPr>
          <w:rFonts w:hint="eastAsia" w:ascii="Times New Roman" w:hAnsi="Times New Roman" w:eastAsia="仿宋_GB2312" w:cs="Times New Roman"/>
          <w:color w:val="auto"/>
          <w:szCs w:val="32"/>
          <w:lang w:val="en-US" w:eastAsia="zh-CN"/>
        </w:rPr>
        <w:t>14.05</w:t>
      </w:r>
      <w:r>
        <w:rPr>
          <w:rFonts w:hint="eastAsia" w:ascii="Times New Roman" w:hAnsi="Times New Roman" w:eastAsia="仿宋_GB2312" w:cs="Times New Roman"/>
          <w:szCs w:val="32"/>
        </w:rPr>
        <w:t>万元，其中固定资产原值</w:t>
      </w:r>
      <w:r>
        <w:rPr>
          <w:rFonts w:hint="eastAsia" w:ascii="Times New Roman" w:hAnsi="Times New Roman" w:eastAsia="仿宋_GB2312" w:cs="Times New Roman"/>
          <w:szCs w:val="32"/>
          <w:lang w:val="en-US" w:eastAsia="zh-CN"/>
        </w:rPr>
        <w:t>28.56</w:t>
      </w:r>
      <w:r>
        <w:rPr>
          <w:rFonts w:hint="eastAsia" w:ascii="Times New Roman" w:hAnsi="Times New Roman" w:eastAsia="仿宋_GB2312" w:cs="Times New Roman"/>
          <w:szCs w:val="32"/>
        </w:rPr>
        <w:t>万元，固定资产累计折旧</w:t>
      </w:r>
      <w:r>
        <w:rPr>
          <w:rFonts w:hint="eastAsia" w:ascii="Times New Roman" w:hAnsi="Times New Roman" w:eastAsia="仿宋_GB2312" w:cs="Times New Roman"/>
          <w:szCs w:val="32"/>
          <w:lang w:val="en-US" w:eastAsia="zh-CN"/>
        </w:rPr>
        <w:t>14.61</w:t>
      </w:r>
      <w:r>
        <w:rPr>
          <w:rFonts w:hint="eastAsia" w:ascii="Times New Roman" w:hAnsi="Times New Roman" w:eastAsia="仿宋_GB2312" w:cs="Times New Roman"/>
          <w:szCs w:val="32"/>
        </w:rPr>
        <w:t>万元，固定资产净值</w:t>
      </w:r>
      <w:r>
        <w:rPr>
          <w:rFonts w:hint="eastAsia" w:ascii="Times New Roman" w:hAnsi="Times New Roman" w:eastAsia="仿宋_GB2312" w:cs="Times New Roman"/>
          <w:szCs w:val="32"/>
          <w:lang w:val="en-US" w:eastAsia="zh-CN"/>
        </w:rPr>
        <w:t>13.95</w:t>
      </w:r>
      <w:r>
        <w:rPr>
          <w:rFonts w:hint="eastAsia" w:ascii="Times New Roman" w:hAnsi="Times New Roman" w:eastAsia="仿宋_GB2312" w:cs="Times New Roman"/>
          <w:szCs w:val="32"/>
        </w:rPr>
        <w:t>万元</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rPr>
        <w:t>流动资产合计数为</w:t>
      </w:r>
      <w:r>
        <w:rPr>
          <w:rFonts w:hint="eastAsia" w:ascii="Times New Roman" w:hAnsi="Times New Roman" w:eastAsia="仿宋_GB2312" w:cs="Times New Roman"/>
          <w:color w:val="auto"/>
          <w:szCs w:val="32"/>
          <w:lang w:val="en-US" w:eastAsia="zh-CN"/>
        </w:rPr>
        <w:t>0.10</w:t>
      </w:r>
      <w:r>
        <w:rPr>
          <w:rFonts w:hint="eastAsia" w:ascii="Times New Roman" w:hAnsi="Times New Roman" w:eastAsia="仿宋_GB2312" w:cs="Times New Roman"/>
          <w:szCs w:val="32"/>
        </w:rPr>
        <w:t>万元。</w:t>
      </w:r>
    </w:p>
    <w:p>
      <w:pPr>
        <w:spacing w:line="560" w:lineRule="exact"/>
        <w:ind w:firstLine="640" w:firstLineChars="200"/>
        <w:outlineLvl w:val="2"/>
        <w:rPr>
          <w:rFonts w:hint="eastAsia" w:ascii="Times New Roman" w:hAnsi="Times New Roman" w:eastAsia="仿宋_GB2312" w:cs="Times New Roman"/>
          <w:szCs w:val="32"/>
          <w:lang w:val="en-US" w:eastAsia="zh-CN"/>
        </w:rPr>
      </w:pPr>
      <w:r>
        <w:rPr>
          <w:rFonts w:hint="eastAsia" w:ascii="楷体" w:hAnsi="楷体" w:eastAsia="楷体" w:cs="楷体"/>
          <w:szCs w:val="32"/>
          <w:lang w:val="en-US" w:eastAsia="zh-CN"/>
        </w:rPr>
        <w:t>2、资产处置。</w:t>
      </w:r>
      <w:r>
        <w:rPr>
          <w:rFonts w:hint="eastAsia" w:ascii="Times New Roman" w:hAnsi="Times New Roman" w:eastAsia="仿宋_GB2312" w:cs="Times New Roman"/>
          <w:szCs w:val="32"/>
          <w:lang w:val="en-US" w:eastAsia="zh-CN"/>
        </w:rPr>
        <w:t>团市委资产处置严格按市国资部门有关文件要求执行，所有资产处置经市国资中心审批后，再办理资产处置相关手续，最后凭资产处置批复文件、处置结果等有关资料，及时按照现行财务会计制度的规定进行账务处理和系统核销，做到“账实相符”“账账相符”。</w:t>
      </w:r>
    </w:p>
    <w:p>
      <w:pPr>
        <w:numPr>
          <w:ilvl w:val="255"/>
          <w:numId w:val="0"/>
        </w:numPr>
        <w:spacing w:before="144" w:beforeLines="25" w:line="560" w:lineRule="exact"/>
        <w:ind w:firstLine="643" w:firstLineChars="200"/>
        <w:outlineLvl w:val="0"/>
        <w:rPr>
          <w:rFonts w:ascii="楷体" w:hAnsi="楷体" w:eastAsia="楷体" w:cs="楷体"/>
          <w:b/>
          <w:bCs/>
          <w:szCs w:val="32"/>
        </w:rPr>
      </w:pPr>
      <w:r>
        <w:rPr>
          <w:rFonts w:hint="eastAsia" w:ascii="楷体" w:hAnsi="楷体" w:eastAsia="楷体" w:cs="楷体"/>
          <w:b/>
          <w:bCs/>
          <w:szCs w:val="32"/>
        </w:rPr>
        <w:t>五</w:t>
      </w:r>
      <w:r>
        <w:rPr>
          <w:rFonts w:hint="eastAsia" w:ascii="楷体" w:hAnsi="楷体" w:eastAsia="楷体" w:cs="楷体"/>
          <w:b/>
          <w:bCs/>
          <w:szCs w:val="32"/>
          <w:lang w:eastAsia="zh-Hans"/>
        </w:rPr>
        <w:t>、</w:t>
      </w:r>
      <w:r>
        <w:rPr>
          <w:rFonts w:hint="eastAsia" w:ascii="楷体" w:hAnsi="楷体" w:eastAsia="楷体" w:cs="楷体"/>
          <w:b/>
          <w:bCs/>
          <w:szCs w:val="32"/>
          <w:highlight w:val="none"/>
        </w:rPr>
        <w:t>部门整体支出绩效情况</w:t>
      </w:r>
    </w:p>
    <w:p>
      <w:pPr>
        <w:spacing w:line="560" w:lineRule="exact"/>
        <w:ind w:firstLine="643" w:firstLineChars="200"/>
        <w:contextualSpacing/>
        <w:outlineLvl w:val="1"/>
        <w:rPr>
          <w:rFonts w:hint="eastAsia" w:ascii="楷体" w:hAnsi="楷体" w:eastAsia="楷体" w:cs="楷体"/>
          <w:b/>
          <w:bCs/>
          <w:szCs w:val="32"/>
          <w:lang w:val="en-US" w:eastAsia="zh-CN"/>
        </w:rPr>
      </w:pPr>
      <w:r>
        <w:rPr>
          <w:rFonts w:hint="eastAsia" w:ascii="楷体" w:hAnsi="楷体" w:eastAsia="楷体" w:cs="楷体"/>
          <w:b/>
          <w:bCs/>
          <w:szCs w:val="32"/>
          <w:lang w:val="en-US" w:eastAsia="zh-CN"/>
        </w:rPr>
        <w:t>（一）单位总支出情况的绩效分析</w:t>
      </w:r>
    </w:p>
    <w:p>
      <w:pPr>
        <w:spacing w:line="560" w:lineRule="exact"/>
        <w:ind w:firstLine="640" w:firstLineChars="200"/>
        <w:contextualSpacing/>
        <w:rPr>
          <w:rFonts w:hint="eastAsia" w:ascii="Times New Roman" w:hAnsi="Times New Roman" w:eastAsia="仿宋_GB2312" w:cs="仿宋_GB2312"/>
          <w:szCs w:val="32"/>
          <w:lang w:val="en-US" w:eastAsia="zh-CN"/>
        </w:rPr>
      </w:pPr>
      <w:r>
        <w:rPr>
          <w:rFonts w:hint="default" w:ascii="Times New Roman" w:hAnsi="Times New Roman" w:eastAsia="仿宋_GB2312" w:cs="Times New Roman"/>
          <w:szCs w:val="32"/>
          <w:lang w:val="en-US" w:eastAsia="zh-CN"/>
        </w:rPr>
        <w:t xml:space="preserve">2022 </w:t>
      </w:r>
      <w:r>
        <w:rPr>
          <w:rFonts w:hint="eastAsia" w:ascii="Times New Roman" w:hAnsi="Times New Roman" w:eastAsia="仿宋_GB2312" w:cs="Times New Roman"/>
          <w:szCs w:val="32"/>
          <w:lang w:val="en-US" w:eastAsia="zh-CN"/>
        </w:rPr>
        <w:t>年度本单位共支</w:t>
      </w:r>
      <w:r>
        <w:rPr>
          <w:rFonts w:hint="default" w:ascii="Times New Roman" w:hAnsi="Times New Roman" w:eastAsia="仿宋_GB2312" w:cs="Times New Roman"/>
          <w:szCs w:val="32"/>
          <w:lang w:val="en-US" w:eastAsia="zh-CN"/>
        </w:rPr>
        <w:t>出资金</w:t>
      </w:r>
      <w:r>
        <w:rPr>
          <w:rFonts w:hint="eastAsia" w:ascii="Times New Roman" w:hAnsi="Times New Roman" w:eastAsia="仿宋_GB2312" w:cs="Times New Roman"/>
          <w:szCs w:val="32"/>
          <w:lang w:val="en-US" w:eastAsia="zh-CN"/>
        </w:rPr>
        <w:t>266.05</w:t>
      </w:r>
      <w:r>
        <w:rPr>
          <w:rFonts w:hint="default" w:ascii="Times New Roman" w:hAnsi="Times New Roman" w:eastAsia="仿宋_GB2312" w:cs="Times New Roman"/>
          <w:szCs w:val="32"/>
          <w:lang w:val="en-US" w:eastAsia="zh-CN"/>
        </w:rPr>
        <w:t>万元，其中</w:t>
      </w:r>
      <w:r>
        <w:rPr>
          <w:rFonts w:hint="eastAsia" w:ascii="Times New Roman" w:hAnsi="Times New Roman" w:eastAsia="仿宋_GB2312" w:cs="Times New Roman"/>
          <w:szCs w:val="32"/>
          <w:lang w:val="en-US" w:eastAsia="zh-CN"/>
        </w:rPr>
        <w:t>：</w:t>
      </w:r>
      <w:r>
        <w:rPr>
          <w:rFonts w:hint="default" w:ascii="Times New Roman" w:hAnsi="Times New Roman" w:eastAsia="仿宋_GB2312" w:cs="Times New Roman"/>
          <w:szCs w:val="32"/>
          <w:lang w:val="en-US" w:eastAsia="zh-CN"/>
        </w:rPr>
        <w:t>财政资金</w:t>
      </w:r>
      <w:r>
        <w:rPr>
          <w:rFonts w:hint="eastAsia" w:ascii="Times New Roman" w:hAnsi="Times New Roman" w:eastAsia="仿宋_GB2312" w:cs="Times New Roman"/>
          <w:szCs w:val="32"/>
          <w:lang w:val="en-US" w:eastAsia="zh-CN"/>
        </w:rPr>
        <w:t>266.06</w:t>
      </w:r>
      <w:r>
        <w:rPr>
          <w:rFonts w:hint="default" w:ascii="Times New Roman" w:hAnsi="Times New Roman" w:eastAsia="仿宋_GB2312" w:cs="Times New Roman"/>
          <w:szCs w:val="32"/>
          <w:lang w:val="en-US" w:eastAsia="zh-CN"/>
        </w:rPr>
        <w:t>万元</w:t>
      </w:r>
      <w:r>
        <w:rPr>
          <w:rFonts w:hint="eastAsia" w:ascii="Times New Roman" w:hAnsi="Times New Roman" w:eastAsia="仿宋_GB2312" w:cs="Times New Roman"/>
          <w:szCs w:val="32"/>
          <w:lang w:val="en-US" w:eastAsia="zh-CN"/>
        </w:rPr>
        <w:t xml:space="preserve"> </w:t>
      </w:r>
      <w:r>
        <w:rPr>
          <w:rFonts w:hint="default" w:ascii="Times New Roman" w:hAnsi="Times New Roman" w:eastAsia="仿宋_GB2312" w:cs="Times New Roman"/>
          <w:szCs w:val="32"/>
          <w:lang w:val="en-US" w:eastAsia="zh-CN"/>
        </w:rPr>
        <w:t>。基本支出</w:t>
      </w:r>
      <w:r>
        <w:rPr>
          <w:rFonts w:hint="eastAsia" w:ascii="Times New Roman" w:hAnsi="Times New Roman" w:eastAsia="仿宋_GB2312" w:cs="Times New Roman"/>
          <w:szCs w:val="32"/>
          <w:lang w:val="en-US" w:eastAsia="zh-CN"/>
        </w:rPr>
        <w:t>148.95</w:t>
      </w:r>
      <w:r>
        <w:rPr>
          <w:rFonts w:hint="default" w:ascii="Times New Roman" w:hAnsi="Times New Roman" w:eastAsia="仿宋_GB2312" w:cs="Times New Roman"/>
          <w:szCs w:val="32"/>
          <w:lang w:val="en-US" w:eastAsia="zh-CN"/>
        </w:rPr>
        <w:t>万元</w:t>
      </w:r>
      <w:r>
        <w:rPr>
          <w:rFonts w:hint="eastAsia" w:ascii="Times New Roman" w:hAnsi="Times New Roman" w:eastAsia="仿宋_GB2312" w:cs="Times New Roman"/>
          <w:szCs w:val="32"/>
          <w:lang w:val="en-US" w:eastAsia="zh-CN"/>
        </w:rPr>
        <w:t>，基本支出保障了单位正常运转的日常支出，包括基本工资、津贴补贴等人员经费以及办公费、工会经费、其他交通费等日常公用经费；项目支出117.10万元，项目支出主要用于一般公共服务支出和公共安全支出，包括办公费、印刷费、邮电费、会议费、培训费、劳务费及其他商品和服务支出等。</w:t>
      </w:r>
    </w:p>
    <w:p>
      <w:pPr>
        <w:spacing w:line="600" w:lineRule="exact"/>
        <w:ind w:firstLine="643" w:firstLineChars="200"/>
        <w:outlineLvl w:val="1"/>
        <w:rPr>
          <w:rFonts w:hint="eastAsia" w:ascii="楷体" w:hAnsi="楷体" w:eastAsia="楷体" w:cs="楷体"/>
          <w:b/>
          <w:bCs/>
          <w:szCs w:val="32"/>
          <w:lang w:val="en-US" w:eastAsia="zh-CN"/>
        </w:rPr>
      </w:pPr>
      <w:r>
        <w:rPr>
          <w:rFonts w:hint="eastAsia" w:ascii="楷体" w:hAnsi="楷体" w:eastAsia="楷体" w:cs="楷体"/>
          <w:b/>
          <w:bCs/>
          <w:szCs w:val="32"/>
          <w:lang w:val="en-US" w:eastAsia="zh-CN"/>
        </w:rPr>
        <w:t>（二）单位项目资金绩效分析</w:t>
      </w:r>
    </w:p>
    <w:p>
      <w:pPr>
        <w:spacing w:line="600" w:lineRule="exact"/>
        <w:ind w:firstLine="643" w:firstLineChars="200"/>
        <w:outlineLvl w:val="2"/>
        <w:rPr>
          <w:rFonts w:hint="eastAsia" w:ascii="楷体" w:hAnsi="楷体" w:eastAsia="楷体" w:cs="楷体"/>
          <w:b/>
          <w:bCs/>
          <w:szCs w:val="32"/>
          <w:lang w:val="en-US" w:eastAsia="zh-CN"/>
        </w:rPr>
      </w:pPr>
      <w:r>
        <w:rPr>
          <w:rFonts w:hint="default" w:ascii="楷体" w:hAnsi="楷体" w:eastAsia="楷体" w:cs="楷体"/>
          <w:b/>
          <w:bCs/>
          <w:szCs w:val="32"/>
          <w:lang w:val="en-US" w:eastAsia="zh-CN"/>
        </w:rPr>
        <w:t>1</w:t>
      </w:r>
      <w:r>
        <w:rPr>
          <w:rFonts w:hint="eastAsia" w:ascii="楷体" w:hAnsi="楷体" w:eastAsia="楷体" w:cs="楷体"/>
          <w:b/>
          <w:bCs/>
          <w:szCs w:val="32"/>
          <w:lang w:val="en-US" w:eastAsia="zh-CN"/>
        </w:rPr>
        <w:t>、项目基本情况简介</w:t>
      </w:r>
    </w:p>
    <w:p>
      <w:pPr>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2022年中国共产主义青年团浏阳市委员会整体</w:t>
      </w:r>
      <w:r>
        <w:rPr>
          <w:rFonts w:hint="eastAsia" w:ascii="仿宋_GB2312" w:hAnsi="仿宋" w:eastAsia="仿宋_GB2312"/>
          <w:sz w:val="32"/>
          <w:szCs w:val="32"/>
          <w:lang w:val="en-US" w:eastAsia="zh-CN"/>
        </w:rPr>
        <w:t>项目预算</w:t>
      </w:r>
      <w:r>
        <w:rPr>
          <w:rFonts w:hint="eastAsia" w:ascii="仿宋_GB2312" w:hAnsi="仿宋" w:eastAsia="仿宋_GB2312"/>
          <w:sz w:val="32"/>
          <w:szCs w:val="32"/>
          <w:lang w:eastAsia="zh-CN"/>
        </w:rPr>
        <w:t>支出</w:t>
      </w:r>
      <w:r>
        <w:rPr>
          <w:rFonts w:hint="eastAsia" w:ascii="仿宋_GB2312" w:hAnsi="仿宋" w:eastAsia="仿宋_GB2312"/>
          <w:sz w:val="32"/>
          <w:szCs w:val="32"/>
          <w:lang w:val="en-US" w:eastAsia="zh-CN"/>
        </w:rPr>
        <w:t>115.42</w:t>
      </w:r>
      <w:r>
        <w:rPr>
          <w:rFonts w:hint="eastAsia" w:ascii="仿宋_GB2312" w:hAnsi="仿宋" w:eastAsia="仿宋_GB2312"/>
          <w:sz w:val="32"/>
          <w:szCs w:val="32"/>
          <w:lang w:eastAsia="zh-CN"/>
        </w:rPr>
        <w:t>万元，编报绩效目标的项目</w:t>
      </w:r>
      <w:r>
        <w:rPr>
          <w:rFonts w:hint="eastAsia" w:ascii="仿宋_GB2312" w:hAnsi="仿宋" w:eastAsia="仿宋_GB2312"/>
          <w:sz w:val="32"/>
          <w:szCs w:val="32"/>
          <w:lang w:val="en-US" w:eastAsia="zh-CN"/>
        </w:rPr>
        <w:t>5</w:t>
      </w:r>
      <w:r>
        <w:rPr>
          <w:rFonts w:hint="eastAsia" w:ascii="仿宋_GB2312" w:hAnsi="仿宋" w:eastAsia="仿宋_GB2312"/>
          <w:sz w:val="32"/>
          <w:szCs w:val="32"/>
          <w:lang w:eastAsia="zh-CN"/>
        </w:rPr>
        <w:t>个，全部实行整体支出绩效目标管理。</w:t>
      </w:r>
    </w:p>
    <w:p>
      <w:pPr>
        <w:spacing w:line="56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本年</w:t>
      </w:r>
      <w:r>
        <w:rPr>
          <w:rFonts w:hint="eastAsia" w:ascii="仿宋_GB2312" w:hAnsi="仿宋" w:eastAsia="仿宋_GB2312"/>
          <w:sz w:val="32"/>
          <w:szCs w:val="32"/>
          <w:lang w:eastAsia="zh-CN"/>
        </w:rPr>
        <w:t>项目</w:t>
      </w:r>
      <w:r>
        <w:rPr>
          <w:rFonts w:hint="eastAsia" w:ascii="仿宋_GB2312" w:hAnsi="仿宋" w:eastAsia="仿宋_GB2312"/>
          <w:sz w:val="32"/>
          <w:szCs w:val="32"/>
          <w:lang w:val="en-US" w:eastAsia="zh-CN"/>
        </w:rPr>
        <w:t>决算</w:t>
      </w:r>
      <w:r>
        <w:rPr>
          <w:rFonts w:hint="eastAsia" w:ascii="仿宋_GB2312" w:hAnsi="仿宋" w:eastAsia="仿宋_GB2312"/>
          <w:sz w:val="32"/>
          <w:szCs w:val="32"/>
          <w:lang w:eastAsia="zh-CN"/>
        </w:rPr>
        <w:t>支出</w:t>
      </w:r>
      <w:r>
        <w:rPr>
          <w:rFonts w:hint="eastAsia" w:ascii="仿宋_GB2312" w:hAnsi="仿宋" w:eastAsia="仿宋_GB2312"/>
          <w:sz w:val="32"/>
          <w:szCs w:val="32"/>
          <w:lang w:val="en-US" w:eastAsia="zh-CN"/>
        </w:rPr>
        <w:t>117.10</w:t>
      </w:r>
      <w:r>
        <w:rPr>
          <w:rFonts w:hint="eastAsia" w:ascii="仿宋_GB2312" w:hAnsi="仿宋" w:eastAsia="仿宋_GB2312"/>
          <w:sz w:val="32"/>
          <w:szCs w:val="32"/>
          <w:lang w:eastAsia="zh-CN"/>
        </w:rPr>
        <w:t>万元，其中：青少年发展专项经费</w:t>
      </w:r>
      <w:r>
        <w:rPr>
          <w:rFonts w:hint="eastAsia" w:ascii="仿宋_GB2312" w:hAnsi="仿宋" w:eastAsia="仿宋_GB2312"/>
          <w:color w:val="auto"/>
          <w:sz w:val="32"/>
          <w:szCs w:val="32"/>
          <w:lang w:val="en-US" w:eastAsia="zh-CN"/>
        </w:rPr>
        <w:t>66.09</w:t>
      </w:r>
      <w:r>
        <w:rPr>
          <w:rFonts w:hint="eastAsia" w:ascii="仿宋_GB2312" w:hAnsi="仿宋" w:eastAsia="仿宋_GB2312"/>
          <w:sz w:val="32"/>
          <w:szCs w:val="32"/>
          <w:lang w:eastAsia="zh-CN"/>
        </w:rPr>
        <w:t>万元、少先队工作经费</w:t>
      </w:r>
      <w:r>
        <w:rPr>
          <w:rFonts w:hint="eastAsia" w:ascii="仿宋_GB2312" w:hAnsi="仿宋" w:eastAsia="仿宋_GB2312"/>
          <w:color w:val="auto"/>
          <w:sz w:val="32"/>
          <w:szCs w:val="32"/>
          <w:lang w:val="en-US" w:eastAsia="zh-CN"/>
        </w:rPr>
        <w:t>23.45</w:t>
      </w:r>
      <w:r>
        <w:rPr>
          <w:rFonts w:hint="eastAsia" w:ascii="仿宋_GB2312" w:hAnsi="仿宋" w:eastAsia="仿宋_GB2312"/>
          <w:color w:val="auto"/>
          <w:sz w:val="32"/>
          <w:szCs w:val="32"/>
          <w:lang w:eastAsia="zh-CN"/>
        </w:rPr>
        <w:t>万元、五四活动经费</w:t>
      </w:r>
      <w:r>
        <w:rPr>
          <w:rFonts w:hint="eastAsia" w:ascii="仿宋_GB2312" w:hAnsi="仿宋" w:eastAsia="仿宋_GB2312"/>
          <w:color w:val="auto"/>
          <w:sz w:val="32"/>
          <w:szCs w:val="32"/>
          <w:lang w:val="en-US" w:eastAsia="zh-CN"/>
        </w:rPr>
        <w:t>2.06</w:t>
      </w:r>
      <w:r>
        <w:rPr>
          <w:rFonts w:hint="eastAsia" w:ascii="仿宋_GB2312" w:hAnsi="仿宋" w:eastAsia="仿宋_GB2312"/>
          <w:color w:val="auto"/>
          <w:sz w:val="32"/>
          <w:szCs w:val="32"/>
          <w:lang w:eastAsia="zh-CN"/>
        </w:rPr>
        <w:t>万元、预防青少年违法犯罪工作经费</w:t>
      </w:r>
      <w:r>
        <w:rPr>
          <w:rFonts w:hint="eastAsia" w:ascii="仿宋_GB2312" w:hAnsi="仿宋" w:eastAsia="仿宋_GB2312"/>
          <w:color w:val="auto"/>
          <w:sz w:val="32"/>
          <w:szCs w:val="32"/>
          <w:lang w:val="en-US" w:eastAsia="zh-CN"/>
        </w:rPr>
        <w:t>11.56</w:t>
      </w:r>
      <w:r>
        <w:rPr>
          <w:rFonts w:hint="eastAsia" w:ascii="仿宋_GB2312" w:hAnsi="仿宋" w:eastAsia="仿宋_GB2312"/>
          <w:color w:val="auto"/>
          <w:sz w:val="32"/>
          <w:szCs w:val="32"/>
          <w:lang w:eastAsia="zh-CN"/>
        </w:rPr>
        <w:t>万</w:t>
      </w:r>
      <w:r>
        <w:rPr>
          <w:rFonts w:hint="eastAsia" w:ascii="仿宋_GB2312" w:hAnsi="仿宋" w:eastAsia="仿宋_GB2312"/>
          <w:sz w:val="32"/>
          <w:szCs w:val="32"/>
          <w:lang w:eastAsia="zh-CN"/>
        </w:rPr>
        <w:t>元、志愿者工作经费</w:t>
      </w:r>
      <w:r>
        <w:rPr>
          <w:rFonts w:hint="eastAsia" w:ascii="仿宋_GB2312" w:hAnsi="仿宋" w:eastAsia="仿宋_GB2312"/>
          <w:sz w:val="32"/>
          <w:szCs w:val="32"/>
          <w:lang w:val="en-US" w:eastAsia="zh-CN"/>
        </w:rPr>
        <w:t>5.00万元、</w:t>
      </w:r>
      <w:r>
        <w:rPr>
          <w:rFonts w:hint="eastAsia" w:ascii="仿宋_GB2312" w:hAnsi="仿宋" w:eastAsia="仿宋_GB2312"/>
          <w:sz w:val="32"/>
          <w:szCs w:val="32"/>
          <w:lang w:eastAsia="zh-CN"/>
        </w:rPr>
        <w:t>建设人民满意城市</w:t>
      </w:r>
      <w:r>
        <w:rPr>
          <w:rFonts w:hint="eastAsia" w:ascii="仿宋_GB2312" w:hAnsi="仿宋" w:eastAsia="仿宋_GB2312"/>
          <w:sz w:val="32"/>
          <w:szCs w:val="32"/>
          <w:lang w:val="en-US" w:eastAsia="zh-CN"/>
        </w:rPr>
        <w:t>6.00万元、其他工作经费2.94万元。为便于开展绩效自评工作，根据《浏阳市财政局关于开展2022年度部门整体支出绩效评价和2023年度绩效监控工作的函》（浏财函〔2023〕22号）及结合本单位实际情况，评价小组按项目类型对</w:t>
      </w:r>
      <w:r>
        <w:rPr>
          <w:rFonts w:hint="eastAsia" w:ascii="仿宋_GB2312" w:hAnsi="仿宋" w:eastAsia="仿宋_GB2312"/>
          <w:sz w:val="32"/>
          <w:szCs w:val="32"/>
          <w:lang w:eastAsia="zh-CN"/>
        </w:rPr>
        <w:t>青少年发展专项经费、少先队工作经费</w:t>
      </w:r>
      <w:r>
        <w:rPr>
          <w:rFonts w:hint="eastAsia" w:ascii="仿宋_GB2312" w:hAnsi="仿宋" w:eastAsia="仿宋_GB2312"/>
          <w:color w:val="auto"/>
          <w:sz w:val="32"/>
          <w:szCs w:val="32"/>
          <w:lang w:eastAsia="zh-CN"/>
        </w:rPr>
        <w:t>、五四活动经费、预防青少年违法犯罪工作经费</w:t>
      </w:r>
      <w:r>
        <w:rPr>
          <w:rFonts w:hint="eastAsia" w:ascii="仿宋_GB2312" w:hAnsi="仿宋" w:eastAsia="仿宋_GB2312"/>
          <w:sz w:val="32"/>
          <w:szCs w:val="32"/>
          <w:lang w:eastAsia="zh-CN"/>
        </w:rPr>
        <w:t>、志愿者工作经费</w:t>
      </w:r>
      <w:r>
        <w:rPr>
          <w:rFonts w:hint="eastAsia" w:ascii="仿宋_GB2312" w:hAnsi="仿宋" w:eastAsia="仿宋_GB2312"/>
          <w:sz w:val="32"/>
          <w:szCs w:val="32"/>
          <w:lang w:val="en-US" w:eastAsia="zh-CN"/>
        </w:rPr>
        <w:t>5个项目开展了绩效自评工作，项目占比92.37%。各项目的投入支出和绩效情况如下：</w:t>
      </w:r>
    </w:p>
    <w:p>
      <w:pPr>
        <w:spacing w:line="360" w:lineRule="exact"/>
        <w:jc w:val="right"/>
        <w:rPr>
          <w:rFonts w:ascii="Times New Roman" w:hAnsi="Times New Roman" w:cs="Times New Roman"/>
          <w:kern w:val="0"/>
          <w:sz w:val="20"/>
          <w:szCs w:val="20"/>
        </w:rPr>
      </w:pPr>
      <w:r>
        <w:rPr>
          <w:rFonts w:hint="eastAsia" w:ascii="Times New Roman" w:hAnsi="Times New Roman" w:cs="Times New Roman"/>
          <w:kern w:val="0"/>
          <w:sz w:val="20"/>
          <w:szCs w:val="20"/>
        </w:rPr>
        <w:t>金额单位：万元</w:t>
      </w:r>
    </w:p>
    <w:tbl>
      <w:tblPr>
        <w:tblStyle w:val="14"/>
        <w:tblW w:w="4965" w:type="pct"/>
        <w:tblInd w:w="23" w:type="dxa"/>
        <w:tblLayout w:type="fixed"/>
        <w:tblCellMar>
          <w:top w:w="0" w:type="dxa"/>
          <w:left w:w="108" w:type="dxa"/>
          <w:bottom w:w="0" w:type="dxa"/>
          <w:right w:w="108" w:type="dxa"/>
        </w:tblCellMar>
      </w:tblPr>
      <w:tblGrid>
        <w:gridCol w:w="2238"/>
        <w:gridCol w:w="1312"/>
        <w:gridCol w:w="3788"/>
        <w:gridCol w:w="1125"/>
      </w:tblGrid>
      <w:tr>
        <w:tblPrEx>
          <w:tblCellMar>
            <w:top w:w="0" w:type="dxa"/>
            <w:left w:w="108" w:type="dxa"/>
            <w:bottom w:w="0" w:type="dxa"/>
            <w:right w:w="108" w:type="dxa"/>
          </w:tblCellMar>
        </w:tblPrEx>
        <w:trPr>
          <w:trHeight w:val="454" w:hRule="exact"/>
          <w:tblHeader/>
        </w:trPr>
        <w:tc>
          <w:tcPr>
            <w:tcW w:w="13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仿宋" w:hAnsi="仿宋" w:cs="宋体"/>
                <w:b/>
                <w:bCs/>
                <w:color w:val="000000"/>
                <w:kern w:val="0"/>
                <w:sz w:val="18"/>
                <w:szCs w:val="18"/>
              </w:rPr>
            </w:pPr>
            <w:r>
              <w:rPr>
                <w:rFonts w:hint="eastAsia" w:ascii="仿宋" w:hAnsi="仿宋" w:cs="宋体"/>
                <w:b/>
                <w:bCs/>
                <w:color w:val="000000"/>
                <w:kern w:val="0"/>
                <w:sz w:val="18"/>
                <w:szCs w:val="18"/>
              </w:rPr>
              <w:t>项目名称</w:t>
            </w:r>
          </w:p>
        </w:tc>
        <w:tc>
          <w:tcPr>
            <w:tcW w:w="7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default" w:ascii="仿宋" w:hAnsi="仿宋" w:eastAsia="仿宋" w:cs="仿宋"/>
                <w:b/>
                <w:bCs/>
                <w:color w:val="000000"/>
                <w:kern w:val="0"/>
                <w:sz w:val="18"/>
                <w:szCs w:val="18"/>
                <w:lang w:val="en-US" w:eastAsia="zh-CN"/>
              </w:rPr>
            </w:pPr>
            <w:r>
              <w:rPr>
                <w:rFonts w:hint="eastAsia" w:ascii="仿宋" w:hAnsi="仿宋" w:cs="仿宋"/>
                <w:b/>
                <w:bCs/>
                <w:color w:val="000000"/>
                <w:kern w:val="0"/>
                <w:sz w:val="18"/>
                <w:szCs w:val="18"/>
                <w:lang w:val="en-US" w:eastAsia="zh-CN"/>
              </w:rPr>
              <w:t>决算金额</w:t>
            </w:r>
          </w:p>
        </w:tc>
        <w:tc>
          <w:tcPr>
            <w:tcW w:w="22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wordWrap/>
              <w:spacing w:line="240" w:lineRule="exact"/>
              <w:jc w:val="center"/>
              <w:rPr>
                <w:rFonts w:hint="default" w:ascii="仿宋" w:hAnsi="仿宋" w:eastAsia="仿宋" w:cs="仿宋"/>
                <w:b/>
                <w:bCs/>
                <w:color w:val="000000"/>
                <w:kern w:val="0"/>
                <w:sz w:val="18"/>
                <w:szCs w:val="18"/>
                <w:lang w:val="en-US" w:eastAsia="zh-CN" w:bidi="ar-SA"/>
              </w:rPr>
            </w:pPr>
            <w:r>
              <w:rPr>
                <w:rFonts w:hint="eastAsia" w:ascii="仿宋" w:hAnsi="仿宋" w:cs="仿宋"/>
                <w:b/>
                <w:bCs/>
                <w:color w:val="000000"/>
                <w:kern w:val="0"/>
                <w:sz w:val="18"/>
                <w:szCs w:val="18"/>
                <w:lang w:val="en-US" w:eastAsia="zh-CN"/>
              </w:rPr>
              <w:t>主要内容</w:t>
            </w:r>
          </w:p>
        </w:tc>
        <w:tc>
          <w:tcPr>
            <w:tcW w:w="6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default" w:ascii="仿宋" w:hAnsi="仿宋" w:eastAsia="仿宋" w:cs="仿宋"/>
                <w:b/>
                <w:bCs/>
                <w:color w:val="000000"/>
                <w:kern w:val="0"/>
                <w:sz w:val="18"/>
                <w:szCs w:val="18"/>
                <w:lang w:val="en-US" w:eastAsia="zh-CN" w:bidi="ar-SA"/>
              </w:rPr>
            </w:pPr>
            <w:r>
              <w:rPr>
                <w:rFonts w:hint="eastAsia" w:ascii="仿宋" w:hAnsi="仿宋" w:cs="仿宋"/>
                <w:b/>
                <w:bCs/>
                <w:color w:val="000000"/>
                <w:kern w:val="0"/>
                <w:sz w:val="18"/>
                <w:szCs w:val="18"/>
                <w:lang w:val="en-US" w:eastAsia="zh-CN"/>
              </w:rPr>
              <w:t>备注</w:t>
            </w:r>
          </w:p>
        </w:tc>
      </w:tr>
      <w:tr>
        <w:tblPrEx>
          <w:tblCellMar>
            <w:top w:w="0" w:type="dxa"/>
            <w:left w:w="108" w:type="dxa"/>
            <w:bottom w:w="0" w:type="dxa"/>
            <w:right w:w="108" w:type="dxa"/>
          </w:tblCellMar>
        </w:tblPrEx>
        <w:trPr>
          <w:trHeight w:val="1570" w:hRule="exact"/>
        </w:trPr>
        <w:tc>
          <w:tcPr>
            <w:tcW w:w="13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青少年发展专项经费</w:t>
            </w:r>
          </w:p>
        </w:tc>
        <w:tc>
          <w:tcPr>
            <w:tcW w:w="7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cs="宋体"/>
                <w:color w:val="000000"/>
                <w:kern w:val="0"/>
                <w:sz w:val="18"/>
                <w:szCs w:val="18"/>
                <w:lang w:val="en-US"/>
              </w:rPr>
            </w:pPr>
            <w:r>
              <w:rPr>
                <w:rFonts w:hint="eastAsia" w:ascii="仿宋" w:hAnsi="仿宋" w:cs="宋体"/>
                <w:color w:val="000000"/>
                <w:kern w:val="0"/>
                <w:sz w:val="18"/>
                <w:szCs w:val="18"/>
                <w:lang w:val="en-US" w:eastAsia="zh-CN"/>
              </w:rPr>
              <w:t>66.09</w:t>
            </w:r>
          </w:p>
        </w:tc>
        <w:tc>
          <w:tcPr>
            <w:tcW w:w="22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按照系统治理、依法治理、综合治理、源头治理的原则，牢牢把握“创平安、促发展、保稳定”的工作主题，坚持问题导向、法治思维、改革创新，从更深层次、更广领域、更高标准推进平安浏阳建设，进一步提高群众的安全感和满意度，确保人民安居乐业、社会安定有序；</w:t>
            </w:r>
          </w:p>
        </w:tc>
        <w:tc>
          <w:tcPr>
            <w:tcW w:w="6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739" w:hRule="exact"/>
        </w:trPr>
        <w:tc>
          <w:tcPr>
            <w:tcW w:w="13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少先队工作经费</w:t>
            </w:r>
          </w:p>
        </w:tc>
        <w:tc>
          <w:tcPr>
            <w:tcW w:w="7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cs="宋体"/>
                <w:color w:val="000000"/>
                <w:kern w:val="0"/>
                <w:sz w:val="18"/>
                <w:szCs w:val="18"/>
                <w:lang w:val="en-US"/>
              </w:rPr>
            </w:pPr>
            <w:r>
              <w:rPr>
                <w:rFonts w:hint="eastAsia" w:ascii="仿宋" w:hAnsi="仿宋" w:cs="宋体"/>
                <w:color w:val="000000"/>
                <w:kern w:val="0"/>
                <w:sz w:val="18"/>
                <w:szCs w:val="18"/>
                <w:lang w:val="en-US" w:eastAsia="zh-CN"/>
              </w:rPr>
              <w:t>23.45</w:t>
            </w:r>
          </w:p>
        </w:tc>
        <w:tc>
          <w:tcPr>
            <w:tcW w:w="22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持续推进平安浏阳建设，进一步提高群众的安全感和满意度，确保人民安居乐业、社会安定有序；</w:t>
            </w:r>
          </w:p>
        </w:tc>
        <w:tc>
          <w:tcPr>
            <w:tcW w:w="6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982" w:hRule="exact"/>
        </w:trPr>
        <w:tc>
          <w:tcPr>
            <w:tcW w:w="13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五四活动经费</w:t>
            </w:r>
          </w:p>
        </w:tc>
        <w:tc>
          <w:tcPr>
            <w:tcW w:w="7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cs="宋体"/>
                <w:color w:val="000000"/>
                <w:kern w:val="0"/>
                <w:sz w:val="18"/>
                <w:szCs w:val="18"/>
                <w:lang w:val="en-US"/>
              </w:rPr>
            </w:pPr>
            <w:r>
              <w:rPr>
                <w:rFonts w:hint="eastAsia" w:ascii="仿宋" w:hAnsi="仿宋" w:cs="宋体"/>
                <w:color w:val="000000"/>
                <w:kern w:val="0"/>
                <w:sz w:val="18"/>
                <w:szCs w:val="18"/>
                <w:lang w:val="en-US" w:eastAsia="zh-CN"/>
              </w:rPr>
              <w:t>2.06</w:t>
            </w:r>
          </w:p>
        </w:tc>
        <w:tc>
          <w:tcPr>
            <w:tcW w:w="22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按照长沙市防病工作领导小组关于落实监护奖励和职业风险补助政策的要求，监护奖励政策要实现区县（市）全覆盖，保障人民群众安全，推进平安浏阳建设；</w:t>
            </w:r>
          </w:p>
        </w:tc>
        <w:tc>
          <w:tcPr>
            <w:tcW w:w="6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13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预防青少年违法犯罪工作经费</w:t>
            </w:r>
          </w:p>
        </w:tc>
        <w:tc>
          <w:tcPr>
            <w:tcW w:w="7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cs="宋体"/>
                <w:color w:val="000000"/>
                <w:kern w:val="0"/>
                <w:sz w:val="18"/>
                <w:szCs w:val="18"/>
                <w:lang w:val="en-US"/>
              </w:rPr>
            </w:pPr>
            <w:r>
              <w:rPr>
                <w:rFonts w:hint="eastAsia" w:ascii="仿宋" w:hAnsi="仿宋" w:cs="宋体"/>
                <w:color w:val="000000"/>
                <w:kern w:val="0"/>
                <w:sz w:val="18"/>
                <w:szCs w:val="18"/>
                <w:lang w:val="en-US" w:eastAsia="zh-CN"/>
              </w:rPr>
              <w:t>11.56</w:t>
            </w:r>
          </w:p>
        </w:tc>
        <w:tc>
          <w:tcPr>
            <w:tcW w:w="22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加快推进更高水平的平安浏阳、法治浏阳、和谐浏阳建设；</w:t>
            </w:r>
          </w:p>
        </w:tc>
        <w:tc>
          <w:tcPr>
            <w:tcW w:w="6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13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志愿者工作经费</w:t>
            </w:r>
          </w:p>
        </w:tc>
        <w:tc>
          <w:tcPr>
            <w:tcW w:w="7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5.00</w:t>
            </w:r>
          </w:p>
        </w:tc>
        <w:tc>
          <w:tcPr>
            <w:tcW w:w="22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坚持综合治理、源头治理，健全黑恶势力违法犯罪打防管控一体化运行机制；</w:t>
            </w:r>
          </w:p>
        </w:tc>
        <w:tc>
          <w:tcPr>
            <w:tcW w:w="6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13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default" w:ascii="仿宋" w:hAnsi="仿宋" w:cs="宋体"/>
                <w:color w:val="000000"/>
                <w:kern w:val="0"/>
                <w:sz w:val="18"/>
                <w:szCs w:val="18"/>
                <w:lang w:val="en-US" w:eastAsia="zh-CN"/>
              </w:rPr>
            </w:pPr>
            <w:r>
              <w:rPr>
                <w:rFonts w:hint="eastAsia" w:ascii="仿宋" w:hAnsi="仿宋" w:cs="宋体"/>
                <w:b/>
                <w:bCs/>
                <w:color w:val="000000"/>
                <w:kern w:val="0"/>
                <w:sz w:val="18"/>
                <w:szCs w:val="18"/>
                <w:lang w:val="en-US" w:eastAsia="zh-CN"/>
              </w:rPr>
              <w:t>合 计</w:t>
            </w:r>
          </w:p>
        </w:tc>
        <w:tc>
          <w:tcPr>
            <w:tcW w:w="7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right"/>
              <w:rPr>
                <w:rFonts w:hint="default" w:ascii="仿宋" w:hAnsi="仿宋" w:cs="宋体"/>
                <w:color w:val="000000"/>
                <w:kern w:val="0"/>
                <w:sz w:val="18"/>
                <w:szCs w:val="18"/>
                <w:lang w:val="en-US" w:eastAsia="zh-CN"/>
              </w:rPr>
            </w:pPr>
            <w:r>
              <w:rPr>
                <w:rFonts w:hint="eastAsia" w:ascii="仿宋" w:hAnsi="仿宋" w:cs="仿宋"/>
                <w:b/>
                <w:bCs/>
                <w:color w:val="000000"/>
                <w:kern w:val="0"/>
                <w:sz w:val="18"/>
                <w:szCs w:val="18"/>
                <w:lang w:val="en-US" w:eastAsia="zh-CN"/>
              </w:rPr>
              <w:t>108.16</w:t>
            </w:r>
          </w:p>
        </w:tc>
        <w:tc>
          <w:tcPr>
            <w:tcW w:w="22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cs="宋体"/>
                <w:color w:val="000000"/>
                <w:kern w:val="0"/>
                <w:sz w:val="18"/>
                <w:szCs w:val="18"/>
                <w:lang w:val="en-US" w:eastAsia="zh-CN"/>
              </w:rPr>
            </w:pPr>
          </w:p>
        </w:tc>
        <w:tc>
          <w:tcPr>
            <w:tcW w:w="6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bl>
    <w:p>
      <w:pPr>
        <w:spacing w:line="600" w:lineRule="exact"/>
        <w:ind w:firstLine="643" w:firstLineChars="200"/>
        <w:outlineLvl w:val="2"/>
        <w:rPr>
          <w:rFonts w:hint="default" w:ascii="楷体" w:hAnsi="楷体" w:eastAsia="楷体" w:cs="楷体"/>
          <w:b/>
          <w:bCs/>
          <w:szCs w:val="32"/>
          <w:lang w:val="en-US" w:eastAsia="zh-CN"/>
        </w:rPr>
      </w:pPr>
      <w:r>
        <w:rPr>
          <w:rFonts w:hint="eastAsia" w:ascii="楷体" w:hAnsi="楷体" w:eastAsia="楷体" w:cs="楷体"/>
          <w:b/>
          <w:bCs/>
          <w:szCs w:val="32"/>
          <w:lang w:val="en-US" w:eastAsia="zh-CN"/>
        </w:rPr>
        <w:t>2、项目资金使用及管理情况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szCs w:val="32"/>
          <w:lang w:val="en-US" w:eastAsia="zh-CN"/>
        </w:rPr>
      </w:pP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lang w:val="en-US" w:eastAsia="zh-CN"/>
        </w:rPr>
        <w:t>1</w:t>
      </w: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rPr>
        <w:t>项目资金使用情况。</w:t>
      </w:r>
      <w:r>
        <w:rPr>
          <w:rFonts w:hint="eastAsia" w:ascii="Times New Roman" w:hAnsi="Times New Roman" w:eastAsia="仿宋_GB2312" w:cs="仿宋_GB2312"/>
          <w:kern w:val="0"/>
          <w:szCs w:val="32"/>
          <w:shd w:val="clear" w:color="auto" w:fill="FFFFFF"/>
          <w:lang w:bidi="ar"/>
        </w:rPr>
        <w:t>项目资金来源为</w:t>
      </w:r>
      <w:r>
        <w:rPr>
          <w:rFonts w:hint="eastAsia" w:ascii="Times New Roman" w:hAnsi="Times New Roman" w:eastAsia="仿宋_GB2312" w:cs="仿宋_GB2312"/>
          <w:kern w:val="0"/>
          <w:szCs w:val="32"/>
          <w:shd w:val="clear" w:color="auto" w:fill="FFFFFF"/>
          <w:lang w:val="en-US" w:eastAsia="zh-CN" w:bidi="ar"/>
        </w:rPr>
        <w:t>财政拨款</w:t>
      </w:r>
      <w:r>
        <w:rPr>
          <w:rFonts w:hint="eastAsia" w:ascii="Times New Roman" w:hAnsi="Times New Roman" w:eastAsia="仿宋_GB2312" w:cs="仿宋_GB2312"/>
          <w:kern w:val="0"/>
          <w:szCs w:val="32"/>
          <w:shd w:val="clear" w:color="auto" w:fill="FFFFFF"/>
          <w:lang w:bidi="ar"/>
        </w:rPr>
        <w:t>。</w:t>
      </w:r>
      <w:r>
        <w:rPr>
          <w:rFonts w:hint="eastAsia" w:ascii="Times New Roman" w:hAnsi="Times New Roman" w:eastAsia="仿宋_GB2312" w:cs="仿宋_GB2312"/>
          <w:szCs w:val="32"/>
        </w:rPr>
        <w:t>项目资金使用有专门的制度</w:t>
      </w:r>
      <w:r>
        <w:rPr>
          <w:rFonts w:hint="eastAsia" w:ascii="Times New Roman" w:hAnsi="Times New Roman" w:eastAsia="仿宋_GB2312" w:cs="仿宋_GB2312"/>
          <w:kern w:val="0"/>
          <w:szCs w:val="32"/>
          <w:shd w:val="clear" w:color="auto" w:fill="FFFFFF"/>
          <w:lang w:bidi="ar"/>
        </w:rPr>
        <w:t>规范</w:t>
      </w:r>
      <w:r>
        <w:rPr>
          <w:rFonts w:hint="eastAsia" w:ascii="Times New Roman" w:hAnsi="Times New Roman" w:eastAsia="仿宋_GB2312" w:cs="仿宋_GB2312"/>
          <w:szCs w:val="32"/>
        </w:rPr>
        <w:t>，做到专款专用，资金使用合理。根据合同约定及考核结果，资金支付采取按季度进行结算，</w:t>
      </w:r>
      <w:r>
        <w:rPr>
          <w:rFonts w:hint="eastAsia" w:ascii="Times New Roman" w:hAnsi="Times New Roman" w:eastAsia="仿宋_GB2312" w:cs="仿宋_GB2312"/>
          <w:kern w:val="0"/>
          <w:szCs w:val="32"/>
          <w:shd w:val="clear" w:color="auto" w:fill="FFFFFF"/>
          <w:lang w:bidi="ar"/>
        </w:rPr>
        <w:t>项目资金预算及使用情况良好。</w:t>
      </w:r>
      <w:r>
        <w:rPr>
          <w:rFonts w:hint="eastAsia" w:ascii="Times New Roman" w:hAnsi="Times New Roman" w:eastAsia="仿宋_GB2312" w:cs="仿宋_GB2312"/>
          <w:szCs w:val="32"/>
        </w:rPr>
        <w:t>根据202</w:t>
      </w:r>
      <w:r>
        <w:rPr>
          <w:rFonts w:hint="eastAsia" w:ascii="Times New Roman" w:hAnsi="Times New Roman" w:eastAsia="仿宋_GB2312" w:cs="仿宋_GB2312"/>
          <w:szCs w:val="32"/>
          <w:lang w:val="en-US" w:eastAsia="zh-CN"/>
        </w:rPr>
        <w:t>2</w:t>
      </w:r>
      <w:r>
        <w:rPr>
          <w:rFonts w:hint="eastAsia" w:ascii="Times New Roman" w:hAnsi="Times New Roman" w:eastAsia="仿宋_GB2312" w:cs="仿宋_GB2312"/>
          <w:szCs w:val="32"/>
        </w:rPr>
        <w:t>年度的日常考评及资金支付情况，</w:t>
      </w:r>
      <w:r>
        <w:rPr>
          <w:rFonts w:hint="eastAsia" w:ascii="Times New Roman" w:hAnsi="Times New Roman" w:eastAsia="仿宋_GB2312" w:cs="仿宋_GB2312"/>
          <w:szCs w:val="32"/>
          <w:lang w:val="en-US" w:eastAsia="zh-CN"/>
        </w:rPr>
        <w:t>各</w:t>
      </w:r>
      <w:r>
        <w:rPr>
          <w:rFonts w:hint="eastAsia" w:ascii="Times New Roman" w:hAnsi="Times New Roman" w:eastAsia="仿宋_GB2312" w:cs="仿宋_GB2312"/>
          <w:szCs w:val="32"/>
        </w:rPr>
        <w:t>项目财政资金得到有效运用，资金支出活动符合规定的目标和要求</w:t>
      </w:r>
      <w:r>
        <w:rPr>
          <w:rFonts w:hint="eastAsia" w:ascii="Times New Roman" w:hAnsi="Times New Roman" w:eastAsia="仿宋_GB2312" w:cs="仿宋_GB2312"/>
          <w:szCs w:val="32"/>
          <w:lang w:eastAsia="zh-CN"/>
        </w:rPr>
        <w:t>。</w:t>
      </w:r>
      <w:r>
        <w:rPr>
          <w:rFonts w:hint="eastAsia" w:ascii="仿宋_GB2312" w:hAnsi="仿宋" w:eastAsia="仿宋_GB2312"/>
          <w:szCs w:val="32"/>
          <w:lang w:val="en-US" w:eastAsia="zh-CN"/>
        </w:rPr>
        <w:t>具体使用情况如下：</w:t>
      </w:r>
    </w:p>
    <w:p>
      <w:pPr>
        <w:spacing w:line="360" w:lineRule="exact"/>
        <w:jc w:val="right"/>
        <w:rPr>
          <w:rFonts w:ascii="Times New Roman" w:hAnsi="Times New Roman" w:cs="Times New Roman"/>
          <w:kern w:val="0"/>
          <w:sz w:val="20"/>
          <w:szCs w:val="20"/>
        </w:rPr>
      </w:pPr>
      <w:r>
        <w:rPr>
          <w:rFonts w:hint="eastAsia" w:ascii="Times New Roman" w:hAnsi="Times New Roman" w:cs="Times New Roman"/>
          <w:kern w:val="0"/>
          <w:sz w:val="20"/>
          <w:szCs w:val="20"/>
        </w:rPr>
        <w:t>金额单位：万元</w:t>
      </w:r>
    </w:p>
    <w:tbl>
      <w:tblPr>
        <w:tblStyle w:val="14"/>
        <w:tblW w:w="4804" w:type="pct"/>
        <w:tblInd w:w="273" w:type="dxa"/>
        <w:tblLayout w:type="fixed"/>
        <w:tblCellMar>
          <w:top w:w="0" w:type="dxa"/>
          <w:left w:w="108" w:type="dxa"/>
          <w:bottom w:w="0" w:type="dxa"/>
          <w:right w:w="108" w:type="dxa"/>
        </w:tblCellMar>
      </w:tblPr>
      <w:tblGrid>
        <w:gridCol w:w="2238"/>
        <w:gridCol w:w="1225"/>
        <w:gridCol w:w="1312"/>
        <w:gridCol w:w="1200"/>
        <w:gridCol w:w="1250"/>
        <w:gridCol w:w="963"/>
      </w:tblGrid>
      <w:tr>
        <w:tblPrEx>
          <w:tblCellMar>
            <w:top w:w="0" w:type="dxa"/>
            <w:left w:w="108" w:type="dxa"/>
            <w:bottom w:w="0" w:type="dxa"/>
            <w:right w:w="108" w:type="dxa"/>
          </w:tblCellMar>
        </w:tblPrEx>
        <w:trPr>
          <w:trHeight w:val="454" w:hRule="exact"/>
          <w:tblHeader/>
        </w:trPr>
        <w:tc>
          <w:tcPr>
            <w:tcW w:w="136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仿宋" w:hAnsi="仿宋" w:cs="宋体"/>
                <w:b/>
                <w:bCs/>
                <w:color w:val="000000"/>
                <w:kern w:val="0"/>
                <w:sz w:val="18"/>
                <w:szCs w:val="18"/>
              </w:rPr>
            </w:pPr>
            <w:r>
              <w:rPr>
                <w:rFonts w:hint="eastAsia" w:ascii="仿宋" w:hAnsi="仿宋" w:cs="宋体"/>
                <w:b/>
                <w:bCs/>
                <w:color w:val="000000"/>
                <w:kern w:val="0"/>
                <w:sz w:val="18"/>
                <w:szCs w:val="18"/>
              </w:rPr>
              <w:t>项目名称</w:t>
            </w: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default" w:ascii="仿宋" w:hAnsi="仿宋" w:eastAsia="仿宋" w:cs="仿宋"/>
                <w:b/>
                <w:bCs/>
                <w:color w:val="000000"/>
                <w:kern w:val="0"/>
                <w:sz w:val="18"/>
                <w:szCs w:val="18"/>
                <w:lang w:val="en-US" w:eastAsia="zh-CN"/>
              </w:rPr>
            </w:pPr>
            <w:r>
              <w:rPr>
                <w:rFonts w:hint="eastAsia" w:ascii="仿宋" w:hAnsi="仿宋" w:cs="仿宋"/>
                <w:b/>
                <w:bCs/>
                <w:color w:val="000000"/>
                <w:kern w:val="0"/>
                <w:sz w:val="18"/>
                <w:szCs w:val="18"/>
                <w:lang w:val="en-US" w:eastAsia="zh-CN"/>
              </w:rPr>
              <w:t>年初预算</w:t>
            </w:r>
          </w:p>
        </w:tc>
        <w:tc>
          <w:tcPr>
            <w:tcW w:w="80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wordWrap/>
              <w:spacing w:line="240" w:lineRule="exact"/>
              <w:jc w:val="center"/>
              <w:rPr>
                <w:rFonts w:hint="default" w:ascii="仿宋" w:hAnsi="仿宋" w:eastAsia="仿宋" w:cs="仿宋"/>
                <w:b/>
                <w:bCs/>
                <w:color w:val="000000"/>
                <w:kern w:val="0"/>
                <w:sz w:val="18"/>
                <w:szCs w:val="18"/>
                <w:lang w:val="en-US" w:eastAsia="zh-CN" w:bidi="ar-SA"/>
              </w:rPr>
            </w:pPr>
            <w:r>
              <w:rPr>
                <w:rFonts w:hint="eastAsia" w:ascii="仿宋" w:hAnsi="仿宋" w:cs="仿宋"/>
                <w:b/>
                <w:bCs/>
                <w:color w:val="000000"/>
                <w:kern w:val="0"/>
                <w:sz w:val="18"/>
                <w:szCs w:val="18"/>
                <w:lang w:val="en-US" w:eastAsia="zh-CN" w:bidi="ar-SA"/>
              </w:rPr>
              <w:t>年终决算</w:t>
            </w:r>
          </w:p>
        </w:tc>
        <w:tc>
          <w:tcPr>
            <w:tcW w:w="7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wordWrap/>
              <w:spacing w:line="240" w:lineRule="exact"/>
              <w:jc w:val="center"/>
              <w:rPr>
                <w:rFonts w:hint="default" w:ascii="仿宋" w:hAnsi="仿宋" w:cs="仿宋"/>
                <w:b/>
                <w:bCs/>
                <w:color w:val="000000"/>
                <w:kern w:val="0"/>
                <w:sz w:val="18"/>
                <w:szCs w:val="18"/>
                <w:lang w:val="en-US" w:eastAsia="zh-CN"/>
              </w:rPr>
            </w:pPr>
            <w:r>
              <w:rPr>
                <w:rFonts w:hint="eastAsia" w:ascii="仿宋" w:hAnsi="仿宋" w:cs="仿宋"/>
                <w:b/>
                <w:bCs/>
                <w:color w:val="000000"/>
                <w:kern w:val="0"/>
                <w:sz w:val="18"/>
                <w:szCs w:val="18"/>
                <w:lang w:val="en-US" w:eastAsia="zh-CN"/>
              </w:rPr>
              <w:t>增加额</w:t>
            </w:r>
          </w:p>
        </w:tc>
        <w:tc>
          <w:tcPr>
            <w:tcW w:w="76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wordWrap/>
              <w:spacing w:line="240" w:lineRule="exact"/>
              <w:jc w:val="center"/>
              <w:rPr>
                <w:rFonts w:hint="default" w:ascii="仿宋" w:hAnsi="仿宋" w:cs="仿宋"/>
                <w:b/>
                <w:bCs/>
                <w:color w:val="000000"/>
                <w:kern w:val="0"/>
                <w:sz w:val="18"/>
                <w:szCs w:val="18"/>
                <w:lang w:val="en-US" w:eastAsia="zh-CN"/>
              </w:rPr>
            </w:pPr>
            <w:r>
              <w:rPr>
                <w:rFonts w:hint="eastAsia" w:ascii="仿宋" w:hAnsi="仿宋" w:cs="仿宋"/>
                <w:b/>
                <w:bCs/>
                <w:color w:val="000000"/>
                <w:kern w:val="0"/>
                <w:sz w:val="18"/>
                <w:szCs w:val="18"/>
                <w:lang w:val="en-US" w:eastAsia="zh-CN"/>
              </w:rPr>
              <w:t>增加比例</w:t>
            </w:r>
          </w:p>
        </w:tc>
        <w:tc>
          <w:tcPr>
            <w:tcW w:w="5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default" w:ascii="仿宋" w:hAnsi="仿宋" w:eastAsia="仿宋" w:cs="仿宋"/>
                <w:b/>
                <w:bCs/>
                <w:color w:val="000000"/>
                <w:kern w:val="0"/>
                <w:sz w:val="18"/>
                <w:szCs w:val="18"/>
                <w:lang w:val="en-US" w:eastAsia="zh-CN" w:bidi="ar-SA"/>
              </w:rPr>
            </w:pPr>
            <w:r>
              <w:rPr>
                <w:rFonts w:hint="eastAsia" w:ascii="仿宋" w:hAnsi="仿宋" w:cs="仿宋"/>
                <w:b/>
                <w:bCs/>
                <w:color w:val="000000"/>
                <w:kern w:val="0"/>
                <w:sz w:val="18"/>
                <w:szCs w:val="18"/>
                <w:lang w:val="en-US" w:eastAsia="zh-CN"/>
              </w:rPr>
              <w:t>备注</w:t>
            </w:r>
          </w:p>
        </w:tc>
      </w:tr>
      <w:tr>
        <w:tblPrEx>
          <w:tblCellMar>
            <w:top w:w="0" w:type="dxa"/>
            <w:left w:w="108" w:type="dxa"/>
            <w:bottom w:w="0" w:type="dxa"/>
            <w:right w:w="108" w:type="dxa"/>
          </w:tblCellMar>
        </w:tblPrEx>
        <w:trPr>
          <w:trHeight w:val="499" w:hRule="exact"/>
        </w:trPr>
        <w:tc>
          <w:tcPr>
            <w:tcW w:w="22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rPr>
            </w:pPr>
            <w:r>
              <w:rPr>
                <w:rFonts w:hint="eastAsia" w:ascii="仿宋" w:hAnsi="仿宋" w:cs="宋体"/>
                <w:color w:val="000000"/>
                <w:kern w:val="0"/>
                <w:sz w:val="18"/>
                <w:szCs w:val="18"/>
                <w:lang w:val="en-US" w:eastAsia="zh-CN"/>
              </w:rPr>
              <w:t>青少年发展专项经费</w:t>
            </w:r>
          </w:p>
        </w:tc>
        <w:tc>
          <w:tcPr>
            <w:tcW w:w="12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宋体"/>
                <w:color w:val="000000"/>
                <w:kern w:val="0"/>
                <w:sz w:val="18"/>
                <w:szCs w:val="18"/>
                <w:lang w:val="en-US"/>
              </w:rPr>
            </w:pPr>
            <w:r>
              <w:rPr>
                <w:rFonts w:hint="eastAsia" w:ascii="仿宋" w:hAnsi="仿宋" w:eastAsia="仿宋" w:cs="仿宋"/>
                <w:i w:val="0"/>
                <w:iCs w:val="0"/>
                <w:color w:val="000000"/>
                <w:kern w:val="0"/>
                <w:sz w:val="18"/>
                <w:szCs w:val="18"/>
                <w:u w:val="none"/>
                <w:lang w:val="en-US" w:eastAsia="zh-CN" w:bidi="ar"/>
              </w:rPr>
              <w:t xml:space="preserve">39.80 </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66.09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26.29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66.06%</w:t>
            </w:r>
          </w:p>
        </w:tc>
        <w:tc>
          <w:tcPr>
            <w:tcW w:w="5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22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rPr>
            </w:pPr>
            <w:r>
              <w:rPr>
                <w:rFonts w:hint="eastAsia" w:ascii="仿宋" w:hAnsi="仿宋" w:cs="宋体"/>
                <w:color w:val="000000"/>
                <w:kern w:val="0"/>
                <w:sz w:val="18"/>
                <w:szCs w:val="18"/>
                <w:lang w:val="en-US" w:eastAsia="zh-CN"/>
              </w:rPr>
              <w:t>少先队工作经费</w:t>
            </w:r>
          </w:p>
        </w:tc>
        <w:tc>
          <w:tcPr>
            <w:tcW w:w="12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rPr>
            </w:pPr>
            <w:r>
              <w:rPr>
                <w:rFonts w:hint="eastAsia" w:ascii="仿宋" w:hAnsi="仿宋" w:eastAsia="仿宋" w:cs="仿宋"/>
                <w:i w:val="0"/>
                <w:iCs w:val="0"/>
                <w:color w:val="000000"/>
                <w:kern w:val="0"/>
                <w:sz w:val="18"/>
                <w:szCs w:val="18"/>
                <w:u w:val="none"/>
                <w:lang w:val="en-US" w:eastAsia="zh-CN" w:bidi="ar"/>
              </w:rPr>
              <w:t xml:space="preserve">25.00 </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23.45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-1.55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-6.20%</w:t>
            </w:r>
          </w:p>
        </w:tc>
        <w:tc>
          <w:tcPr>
            <w:tcW w:w="5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22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rPr>
            </w:pPr>
            <w:r>
              <w:rPr>
                <w:rFonts w:hint="eastAsia" w:ascii="仿宋" w:hAnsi="仿宋" w:cs="宋体"/>
                <w:color w:val="000000"/>
                <w:kern w:val="0"/>
                <w:sz w:val="18"/>
                <w:szCs w:val="18"/>
                <w:lang w:val="en-US" w:eastAsia="zh-CN"/>
              </w:rPr>
              <w:t>五四活动经费</w:t>
            </w:r>
          </w:p>
        </w:tc>
        <w:tc>
          <w:tcPr>
            <w:tcW w:w="12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rPr>
            </w:pPr>
            <w:r>
              <w:rPr>
                <w:rFonts w:hint="eastAsia" w:ascii="仿宋" w:hAnsi="仿宋" w:eastAsia="仿宋" w:cs="仿宋"/>
                <w:i w:val="0"/>
                <w:iCs w:val="0"/>
                <w:color w:val="000000"/>
                <w:kern w:val="0"/>
                <w:sz w:val="18"/>
                <w:szCs w:val="18"/>
                <w:u w:val="none"/>
                <w:lang w:val="en-US" w:eastAsia="zh-CN" w:bidi="ar"/>
              </w:rPr>
              <w:t xml:space="preserve">2.06 </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2.06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0.00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0.00%</w:t>
            </w:r>
          </w:p>
        </w:tc>
        <w:tc>
          <w:tcPr>
            <w:tcW w:w="5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22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rPr>
            </w:pPr>
            <w:r>
              <w:rPr>
                <w:rFonts w:hint="eastAsia" w:ascii="仿宋" w:hAnsi="仿宋" w:cs="宋体"/>
                <w:color w:val="000000"/>
                <w:kern w:val="0"/>
                <w:sz w:val="18"/>
                <w:szCs w:val="18"/>
                <w:lang w:val="en-US" w:eastAsia="zh-CN"/>
              </w:rPr>
              <w:t>预防青少年违法犯罪工作经费</w:t>
            </w:r>
          </w:p>
        </w:tc>
        <w:tc>
          <w:tcPr>
            <w:tcW w:w="12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rPr>
            </w:pPr>
            <w:r>
              <w:rPr>
                <w:rFonts w:hint="eastAsia" w:ascii="仿宋" w:hAnsi="仿宋" w:eastAsia="仿宋" w:cs="仿宋"/>
                <w:i w:val="0"/>
                <w:iCs w:val="0"/>
                <w:color w:val="000000"/>
                <w:kern w:val="0"/>
                <w:sz w:val="18"/>
                <w:szCs w:val="18"/>
                <w:u w:val="none"/>
                <w:lang w:val="en-US" w:eastAsia="zh-CN" w:bidi="ar"/>
              </w:rPr>
              <w:t xml:space="preserve">11.56 </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11.56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0.00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0.00%</w:t>
            </w:r>
          </w:p>
        </w:tc>
        <w:tc>
          <w:tcPr>
            <w:tcW w:w="5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22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hint="eastAsia" w:ascii="仿宋" w:hAnsi="仿宋" w:cs="宋体"/>
                <w:color w:val="000000"/>
                <w:kern w:val="0"/>
                <w:sz w:val="18"/>
                <w:szCs w:val="18"/>
                <w:lang w:val="en-US" w:eastAsia="zh-CN"/>
              </w:rPr>
            </w:pPr>
            <w:r>
              <w:rPr>
                <w:rFonts w:hint="eastAsia" w:ascii="仿宋" w:hAnsi="仿宋" w:cs="宋体"/>
                <w:color w:val="000000"/>
                <w:kern w:val="0"/>
                <w:sz w:val="18"/>
                <w:szCs w:val="18"/>
                <w:lang w:val="en-US" w:eastAsia="zh-CN"/>
              </w:rPr>
              <w:t>志愿者工作经费</w:t>
            </w:r>
          </w:p>
        </w:tc>
        <w:tc>
          <w:tcPr>
            <w:tcW w:w="12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37.00 </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5.00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 xml:space="preserve">-32.00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color w:val="000000"/>
                <w:kern w:val="0"/>
                <w:sz w:val="18"/>
                <w:szCs w:val="18"/>
                <w:lang w:val="en-US" w:eastAsia="zh-CN"/>
              </w:rPr>
            </w:pPr>
            <w:r>
              <w:rPr>
                <w:rFonts w:hint="eastAsia" w:ascii="仿宋" w:hAnsi="仿宋" w:eastAsia="仿宋" w:cs="仿宋"/>
                <w:i w:val="0"/>
                <w:iCs w:val="0"/>
                <w:color w:val="000000"/>
                <w:kern w:val="0"/>
                <w:sz w:val="18"/>
                <w:szCs w:val="18"/>
                <w:u w:val="none"/>
                <w:lang w:val="en-US" w:eastAsia="zh-CN" w:bidi="ar"/>
              </w:rPr>
              <w:t>-86.49%</w:t>
            </w:r>
          </w:p>
        </w:tc>
        <w:tc>
          <w:tcPr>
            <w:tcW w:w="5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r>
        <w:tblPrEx>
          <w:tblCellMar>
            <w:top w:w="0" w:type="dxa"/>
            <w:left w:w="108" w:type="dxa"/>
            <w:bottom w:w="0" w:type="dxa"/>
            <w:right w:w="108" w:type="dxa"/>
          </w:tblCellMar>
        </w:tblPrEx>
        <w:trPr>
          <w:trHeight w:val="499" w:hRule="exact"/>
        </w:trPr>
        <w:tc>
          <w:tcPr>
            <w:tcW w:w="136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default" w:ascii="仿宋" w:hAnsi="仿宋" w:cs="宋体"/>
                <w:color w:val="000000"/>
                <w:kern w:val="0"/>
                <w:sz w:val="18"/>
                <w:szCs w:val="18"/>
                <w:lang w:val="en-US" w:eastAsia="zh-CN"/>
              </w:rPr>
            </w:pPr>
            <w:r>
              <w:rPr>
                <w:rFonts w:hint="eastAsia" w:ascii="仿宋" w:hAnsi="仿宋" w:cs="宋体"/>
                <w:b/>
                <w:bCs/>
                <w:color w:val="000000"/>
                <w:kern w:val="0"/>
                <w:sz w:val="18"/>
                <w:szCs w:val="18"/>
                <w:lang w:val="en-US" w:eastAsia="zh-CN"/>
              </w:rPr>
              <w:t>合 计</w:t>
            </w:r>
          </w:p>
        </w:tc>
        <w:tc>
          <w:tcPr>
            <w:tcW w:w="12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cs="宋体"/>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 xml:space="preserve">115.42 </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仿宋" w:hAnsi="仿宋" w:cs="宋体"/>
                <w:b/>
                <w:bCs/>
                <w:color w:val="000000"/>
                <w:kern w:val="0"/>
                <w:sz w:val="18"/>
                <w:szCs w:val="18"/>
                <w:lang w:val="en-US" w:eastAsia="zh-CN"/>
              </w:rPr>
            </w:pPr>
            <w:r>
              <w:rPr>
                <w:rFonts w:hint="eastAsia" w:ascii="仿宋" w:hAnsi="仿宋" w:eastAsia="仿宋" w:cs="仿宋"/>
                <w:b/>
                <w:bCs/>
                <w:i w:val="0"/>
                <w:iCs w:val="0"/>
                <w:color w:val="000000"/>
                <w:kern w:val="0"/>
                <w:sz w:val="18"/>
                <w:szCs w:val="18"/>
                <w:u w:val="none"/>
                <w:lang w:val="en-US" w:eastAsia="zh-CN" w:bidi="ar"/>
              </w:rPr>
              <w:t xml:space="preserve">108.16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 xml:space="preserve">-7.26 </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-6.29%</w:t>
            </w:r>
          </w:p>
        </w:tc>
        <w:tc>
          <w:tcPr>
            <w:tcW w:w="5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hint="eastAsia" w:ascii="仿宋" w:hAnsi="仿宋" w:eastAsia="仿宋" w:cs="仿宋"/>
                <w:color w:val="000000"/>
                <w:kern w:val="0"/>
                <w:sz w:val="18"/>
                <w:szCs w:val="18"/>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Cs w:val="32"/>
        </w:rPr>
      </w:pP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lang w:val="en-US" w:eastAsia="zh-CN"/>
        </w:rPr>
        <w:t>2</w:t>
      </w: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rPr>
        <w:t>项目管理情况。</w:t>
      </w:r>
      <w:r>
        <w:rPr>
          <w:rFonts w:hint="eastAsia" w:ascii="Times New Roman" w:hAnsi="Times New Roman" w:eastAsia="仿宋_GB2312" w:cs="Times New Roman"/>
          <w:szCs w:val="32"/>
        </w:rPr>
        <w:t>为加强项目</w:t>
      </w:r>
      <w:r>
        <w:rPr>
          <w:rFonts w:hint="eastAsia" w:ascii="Times New Roman" w:hAnsi="Times New Roman" w:eastAsia="仿宋_GB2312" w:cs="Times New Roman"/>
          <w:szCs w:val="32"/>
          <w:lang w:val="en-US" w:eastAsia="zh-CN"/>
        </w:rPr>
        <w:t>资金使用</w:t>
      </w:r>
      <w:r>
        <w:rPr>
          <w:rFonts w:hint="eastAsia" w:ascii="Times New Roman" w:hAnsi="Times New Roman" w:eastAsia="仿宋_GB2312" w:cs="Times New Roman"/>
          <w:szCs w:val="32"/>
        </w:rPr>
        <w:t>管理，提高内部控制管理水平，</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制定了相关制度，项目资金的支付符合国家财经法规和财务管理制度规定，项目资金拨付有完整的审批程序和手续，符合部门预算批复的用途并按规定内容予以公开。</w:t>
      </w:r>
    </w:p>
    <w:p>
      <w:pPr>
        <w:spacing w:line="600" w:lineRule="exact"/>
        <w:ind w:firstLine="643" w:firstLineChars="200"/>
        <w:outlineLvl w:val="2"/>
        <w:rPr>
          <w:rFonts w:hint="default" w:ascii="楷体" w:hAnsi="楷体" w:eastAsia="楷体" w:cs="楷体"/>
          <w:b/>
          <w:bCs/>
          <w:szCs w:val="32"/>
          <w:lang w:val="en-US" w:eastAsia="zh-CN"/>
        </w:rPr>
      </w:pPr>
      <w:r>
        <w:rPr>
          <w:rFonts w:hint="eastAsia" w:ascii="楷体" w:hAnsi="楷体" w:eastAsia="楷体" w:cs="楷体"/>
          <w:b/>
          <w:bCs/>
          <w:szCs w:val="32"/>
          <w:lang w:val="en-US" w:eastAsia="zh-CN"/>
        </w:rPr>
        <w:t>3、项目组织实施及管理情况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b w:val="0"/>
          <w:bCs w:val="0"/>
          <w:szCs w:val="32"/>
        </w:rPr>
      </w:pP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lang w:val="en-US" w:eastAsia="zh-CN"/>
        </w:rPr>
        <w:t>1</w:t>
      </w: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rPr>
        <w:t>项目</w:t>
      </w:r>
      <w:r>
        <w:rPr>
          <w:rFonts w:hint="eastAsia" w:ascii="Times New Roman" w:hAnsi="Times New Roman" w:eastAsia="楷体_GB2312" w:cs="楷体_GB2312"/>
          <w:b w:val="0"/>
          <w:bCs w:val="0"/>
          <w:szCs w:val="32"/>
          <w:lang w:val="en-US" w:eastAsia="zh-CN"/>
        </w:rPr>
        <w:t>组织情况分析</w:t>
      </w:r>
      <w:r>
        <w:rPr>
          <w:rFonts w:hint="eastAsia" w:ascii="Times New Roman" w:hAnsi="Times New Roman" w:eastAsia="楷体_GB2312" w:cs="楷体_GB2312"/>
          <w:b w:val="0"/>
          <w:bCs w:val="0"/>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Cs w:val="32"/>
          <w:highlight w:val="none"/>
          <w:lang w:val="en-US" w:eastAsia="zh-CN"/>
        </w:rPr>
      </w:pPr>
      <w:r>
        <w:rPr>
          <w:rFonts w:hint="eastAsia" w:ascii="Times New Roman" w:hAnsi="Times New Roman" w:eastAsia="仿宋_GB2312" w:cs="仿宋_GB2312"/>
          <w:szCs w:val="32"/>
          <w:highlight w:val="none"/>
          <w:lang w:val="en-US" w:eastAsia="zh-CN"/>
        </w:rPr>
        <w:t>严格落实“三重一大”制度，不断加强项目的资金管理以及财务监督等相关工作，组织实施的政务公开标准化体系建设项目招投标工作均本着公平、公正、科学、择优的原则，严格按照有关规定进行招标，在指定媒介发布招标公告，并按公告约定时间、地点开标、评标。开标、评标过程均受财政、纪检等行政监督部门行政监督。</w:t>
      </w:r>
    </w:p>
    <w:p>
      <w:pPr>
        <w:spacing w:line="600" w:lineRule="exact"/>
        <w:ind w:firstLine="640" w:firstLineChars="200"/>
        <w:rPr>
          <w:rFonts w:hint="eastAsia" w:ascii="Times New Roman" w:hAnsi="Times New Roman" w:eastAsia="仿宋_GB2312" w:cs="仿宋_GB2312"/>
          <w:szCs w:val="32"/>
        </w:rPr>
      </w:pP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lang w:val="en-US" w:eastAsia="zh-CN"/>
        </w:rPr>
        <w:t>2</w:t>
      </w:r>
      <w:r>
        <w:rPr>
          <w:rFonts w:hint="eastAsia" w:ascii="Times New Roman" w:hAnsi="Times New Roman" w:eastAsia="楷体_GB2312" w:cs="楷体_GB2312"/>
          <w:b w:val="0"/>
          <w:bCs w:val="0"/>
          <w:szCs w:val="32"/>
          <w:lang w:eastAsia="zh-CN"/>
        </w:rPr>
        <w:t>）</w:t>
      </w:r>
      <w:r>
        <w:rPr>
          <w:rFonts w:hint="eastAsia" w:ascii="Times New Roman" w:hAnsi="Times New Roman" w:eastAsia="楷体_GB2312" w:cs="楷体_GB2312"/>
          <w:b w:val="0"/>
          <w:bCs w:val="0"/>
          <w:szCs w:val="32"/>
        </w:rPr>
        <w:t>项目</w:t>
      </w:r>
      <w:r>
        <w:rPr>
          <w:rFonts w:hint="eastAsia" w:ascii="Times New Roman" w:hAnsi="Times New Roman" w:eastAsia="楷体_GB2312" w:cs="楷体_GB2312"/>
          <w:b w:val="0"/>
          <w:bCs w:val="0"/>
          <w:szCs w:val="32"/>
          <w:lang w:val="en-US" w:eastAsia="zh-CN"/>
        </w:rPr>
        <w:t>管理情况分析</w:t>
      </w:r>
      <w:r>
        <w:rPr>
          <w:rFonts w:hint="eastAsia" w:ascii="Times New Roman" w:hAnsi="Times New Roman" w:eastAsia="楷体_GB2312" w:cs="楷体_GB2312"/>
          <w:b w:val="0"/>
          <w:bCs w:val="0"/>
          <w:szCs w:val="32"/>
        </w:rPr>
        <w:t>。</w:t>
      </w:r>
      <w:r>
        <w:rPr>
          <w:rFonts w:hint="eastAsia" w:ascii="仿宋" w:hAnsi="仿宋" w:eastAsia="仿宋" w:cs="仿宋"/>
          <w:b w:val="0"/>
          <w:bCs w:val="0"/>
          <w:szCs w:val="32"/>
          <w:lang w:val="en-US" w:eastAsia="zh-CN"/>
        </w:rPr>
        <w:t>加强项目的管理，提升项目效益。通过制定和多次更新</w:t>
      </w:r>
      <w:r>
        <w:rPr>
          <w:rFonts w:hint="eastAsia" w:ascii="仿宋" w:hAnsi="仿宋" w:cs="仿宋"/>
          <w:b w:val="0"/>
          <w:bCs w:val="0"/>
          <w:szCs w:val="32"/>
          <w:lang w:val="en-US" w:eastAsia="zh-CN"/>
        </w:rPr>
        <w:t>单位</w:t>
      </w:r>
      <w:r>
        <w:rPr>
          <w:rFonts w:hint="eastAsia" w:ascii="仿宋" w:hAnsi="仿宋" w:eastAsia="仿宋" w:cs="仿宋"/>
          <w:b w:val="0"/>
          <w:bCs w:val="0"/>
          <w:szCs w:val="32"/>
          <w:lang w:val="en-US" w:eastAsia="zh-CN"/>
        </w:rPr>
        <w:t>日常管理制度、内控制度、政府采购内控制度等加强项目管理。同时组织</w:t>
      </w:r>
      <w:r>
        <w:rPr>
          <w:rFonts w:hint="eastAsia" w:ascii="仿宋" w:hAnsi="仿宋" w:cs="仿宋"/>
          <w:b w:val="0"/>
          <w:bCs w:val="0"/>
          <w:szCs w:val="32"/>
          <w:lang w:val="en-US" w:eastAsia="zh-CN"/>
        </w:rPr>
        <w:t>单位</w:t>
      </w:r>
      <w:r>
        <w:rPr>
          <w:rFonts w:hint="eastAsia" w:ascii="仿宋" w:hAnsi="仿宋" w:eastAsia="仿宋" w:cs="仿宋"/>
          <w:b w:val="0"/>
          <w:bCs w:val="0"/>
          <w:szCs w:val="32"/>
          <w:lang w:val="en-US" w:eastAsia="zh-CN"/>
        </w:rPr>
        <w:t>领导和人员学习财务和上级规章制度，实施国库集中支付，开展日常的检查和督查。同时按照合同，对项目的实施全过程跟踪，确保项目达到预期效果。</w:t>
      </w:r>
    </w:p>
    <w:p>
      <w:pPr>
        <w:spacing w:line="600" w:lineRule="exact"/>
        <w:ind w:firstLine="643" w:firstLineChars="200"/>
        <w:rPr>
          <w:rFonts w:hint="default" w:ascii="楷体" w:hAnsi="楷体" w:eastAsia="楷体" w:cs="楷体"/>
          <w:b/>
          <w:bCs/>
          <w:szCs w:val="32"/>
          <w:lang w:val="en-US" w:eastAsia="zh-CN"/>
        </w:rPr>
      </w:pPr>
      <w:r>
        <w:rPr>
          <w:rFonts w:hint="eastAsia" w:ascii="楷体" w:hAnsi="楷体" w:eastAsia="楷体" w:cs="楷体"/>
          <w:b/>
          <w:bCs/>
          <w:szCs w:val="32"/>
          <w:lang w:val="en-US" w:eastAsia="zh-CN"/>
        </w:rPr>
        <w:t>4、项目绩效情况</w:t>
      </w:r>
    </w:p>
    <w:p>
      <w:pPr>
        <w:spacing w:line="600" w:lineRule="exact"/>
        <w:ind w:firstLine="643" w:firstLineChars="200"/>
        <w:rPr>
          <w:rFonts w:hint="eastAsia" w:ascii="Times New Roman" w:hAnsi="Times New Roman" w:eastAsia="楷体_GB2312" w:cs="楷体_GB2312"/>
          <w:b/>
          <w:bCs/>
          <w:szCs w:val="32"/>
        </w:rPr>
      </w:pPr>
      <w:r>
        <w:rPr>
          <w:rFonts w:hint="eastAsia" w:ascii="Times New Roman" w:hAnsi="Times New Roman" w:eastAsia="楷体_GB2312" w:cs="楷体_GB2312"/>
          <w:b/>
          <w:bCs/>
          <w:szCs w:val="32"/>
          <w:lang w:eastAsia="zh-CN"/>
        </w:rPr>
        <w:t>（</w:t>
      </w:r>
      <w:r>
        <w:rPr>
          <w:rFonts w:hint="eastAsia" w:ascii="Times New Roman" w:hAnsi="Times New Roman" w:eastAsia="楷体_GB2312" w:cs="楷体_GB2312"/>
          <w:b/>
          <w:bCs/>
          <w:szCs w:val="32"/>
          <w:lang w:val="en-US" w:eastAsia="zh-CN"/>
        </w:rPr>
        <w:t>1</w:t>
      </w:r>
      <w:r>
        <w:rPr>
          <w:rFonts w:hint="eastAsia" w:ascii="Times New Roman" w:hAnsi="Times New Roman" w:eastAsia="楷体_GB2312" w:cs="楷体_GB2312"/>
          <w:b/>
          <w:bCs/>
          <w:szCs w:val="32"/>
          <w:lang w:eastAsia="zh-CN"/>
        </w:rPr>
        <w:t>）</w:t>
      </w:r>
      <w:r>
        <w:rPr>
          <w:rFonts w:hint="eastAsia" w:ascii="Times New Roman" w:hAnsi="Times New Roman" w:eastAsia="楷体_GB2312" w:cs="楷体_GB2312"/>
          <w:b/>
          <w:bCs/>
          <w:szCs w:val="32"/>
        </w:rPr>
        <w:t>项目</w:t>
      </w:r>
      <w:r>
        <w:rPr>
          <w:rFonts w:hint="eastAsia" w:ascii="Times New Roman" w:hAnsi="Times New Roman" w:eastAsia="楷体_GB2312" w:cs="楷体_GB2312"/>
          <w:b/>
          <w:bCs/>
          <w:szCs w:val="32"/>
          <w:lang w:val="en-US" w:eastAsia="zh-CN"/>
        </w:rPr>
        <w:t>的经济性分析</w:t>
      </w:r>
      <w:r>
        <w:rPr>
          <w:rFonts w:hint="eastAsia" w:ascii="Times New Roman" w:hAnsi="Times New Roman" w:eastAsia="楷体_GB2312" w:cs="楷体_GB2312"/>
          <w:b/>
          <w:bCs/>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Cs w:val="32"/>
          <w:highlight w:val="none"/>
          <w:lang w:val="en-US" w:eastAsia="zh-CN"/>
        </w:rPr>
      </w:pPr>
      <w:r>
        <w:rPr>
          <w:rFonts w:hint="eastAsia" w:ascii="Times New Roman" w:hAnsi="Times New Roman" w:eastAsia="仿宋_GB2312" w:cs="仿宋_GB2312"/>
          <w:szCs w:val="32"/>
          <w:highlight w:val="none"/>
          <w:lang w:val="en-US" w:eastAsia="zh-CN"/>
        </w:rPr>
        <w:t>本年预算配置控制较好。财政供养人员控制在预算编制以内，编制内在职人员控制率为100%，“三公”经费支出总额小，低于年初预算。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Cs w:val="32"/>
          <w:highlight w:val="none"/>
          <w:lang w:val="en-US" w:eastAsia="zh-CN"/>
        </w:rPr>
      </w:pPr>
      <w:r>
        <w:rPr>
          <w:rFonts w:hint="eastAsia" w:ascii="Times New Roman" w:hAnsi="Times New Roman" w:eastAsia="仿宋_GB2312" w:cs="仿宋_GB2312"/>
          <w:szCs w:val="32"/>
          <w:highlight w:val="none"/>
          <w:lang w:val="en-US" w:eastAsia="zh-CN"/>
        </w:rPr>
        <w:t>预算执行方面。支出总额控制在收入总额以内，所有支出严格依照相关财务管理规定执行，特别重视量财办事、量力而行，严格控制标准、注重节约，少花钱办好事，各项支出都在合理范围内。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Cs w:val="32"/>
          <w:highlight w:val="none"/>
          <w:lang w:val="en-US" w:eastAsia="zh-CN"/>
        </w:rPr>
      </w:pPr>
      <w:r>
        <w:rPr>
          <w:rFonts w:hint="eastAsia" w:ascii="Times New Roman" w:hAnsi="Times New Roman" w:eastAsia="仿宋_GB2312" w:cs="仿宋_GB2312"/>
          <w:szCs w:val="32"/>
          <w:highlight w:val="none"/>
          <w:lang w:val="en-US" w:eastAsia="zh-CN"/>
        </w:rPr>
        <w:t>预算管理方面。我单位制定了切实有效的内部管理制度和经费支出控制方案，有较强的内控风险管理意识、各项经费支出得到了有效控制。</w:t>
      </w:r>
    </w:p>
    <w:p>
      <w:pPr>
        <w:spacing w:line="600" w:lineRule="exact"/>
        <w:ind w:firstLine="643" w:firstLineChars="200"/>
        <w:rPr>
          <w:rFonts w:hint="eastAsia" w:ascii="Times New Roman" w:hAnsi="Times New Roman" w:eastAsia="楷体_GB2312" w:cs="楷体_GB2312"/>
          <w:b/>
          <w:bCs/>
          <w:szCs w:val="32"/>
        </w:rPr>
      </w:pPr>
      <w:r>
        <w:rPr>
          <w:rFonts w:hint="eastAsia" w:ascii="Times New Roman" w:hAnsi="Times New Roman" w:eastAsia="楷体_GB2312" w:cs="楷体_GB2312"/>
          <w:b/>
          <w:bCs/>
          <w:szCs w:val="32"/>
          <w:lang w:eastAsia="zh-CN"/>
        </w:rPr>
        <w:t>（</w:t>
      </w:r>
      <w:r>
        <w:rPr>
          <w:rFonts w:hint="eastAsia" w:ascii="Times New Roman" w:hAnsi="Times New Roman" w:eastAsia="楷体_GB2312" w:cs="楷体_GB2312"/>
          <w:b/>
          <w:bCs/>
          <w:szCs w:val="32"/>
          <w:lang w:val="en-US" w:eastAsia="zh-CN"/>
        </w:rPr>
        <w:t>2</w:t>
      </w:r>
      <w:r>
        <w:rPr>
          <w:rFonts w:hint="eastAsia" w:ascii="Times New Roman" w:hAnsi="Times New Roman" w:eastAsia="楷体_GB2312" w:cs="楷体_GB2312"/>
          <w:b/>
          <w:bCs/>
          <w:szCs w:val="32"/>
          <w:lang w:eastAsia="zh-CN"/>
        </w:rPr>
        <w:t>）</w:t>
      </w:r>
      <w:r>
        <w:rPr>
          <w:rFonts w:hint="eastAsia" w:ascii="Times New Roman" w:hAnsi="Times New Roman" w:eastAsia="楷体_GB2312" w:cs="楷体_GB2312"/>
          <w:b/>
          <w:bCs/>
          <w:szCs w:val="32"/>
        </w:rPr>
        <w:t>项目</w:t>
      </w:r>
      <w:r>
        <w:rPr>
          <w:rFonts w:hint="eastAsia" w:ascii="Times New Roman" w:hAnsi="Times New Roman" w:eastAsia="楷体_GB2312" w:cs="楷体_GB2312"/>
          <w:b/>
          <w:bCs/>
          <w:szCs w:val="32"/>
          <w:lang w:val="en-US" w:eastAsia="zh-CN"/>
        </w:rPr>
        <w:t>的效率性分析和有效性分析</w:t>
      </w:r>
      <w:r>
        <w:rPr>
          <w:rFonts w:hint="eastAsia" w:ascii="Times New Roman" w:hAnsi="Times New Roman" w:eastAsia="楷体_GB2312" w:cs="楷体_GB2312"/>
          <w:b/>
          <w:bCs/>
          <w:szCs w:val="32"/>
        </w:rPr>
        <w:t>。</w:t>
      </w:r>
    </w:p>
    <w:p>
      <w:pPr>
        <w:spacing w:line="600" w:lineRule="exact"/>
        <w:ind w:firstLine="643" w:firstLineChars="200"/>
        <w:rPr>
          <w:rFonts w:hint="eastAsia" w:ascii="Times New Roman" w:hAnsi="Times New Roman" w:eastAsia="仿宋_GB2312" w:cs="仿宋_GB2312"/>
          <w:color w:val="auto"/>
          <w:szCs w:val="32"/>
          <w:highlight w:val="none"/>
          <w:lang w:val="en-US" w:eastAsia="zh-CN"/>
        </w:rPr>
      </w:pPr>
      <w:r>
        <w:rPr>
          <w:rFonts w:hint="eastAsia" w:ascii="Times New Roman" w:hAnsi="Times New Roman" w:eastAsia="仿宋_GB2312" w:cs="仿宋_GB2312"/>
          <w:b/>
          <w:bCs/>
          <w:color w:val="auto"/>
          <w:szCs w:val="32"/>
          <w:highlight w:val="none"/>
          <w:lang w:val="en-US" w:eastAsia="zh-CN"/>
        </w:rPr>
        <w:t>（一）聚焦为党育人根本任务，不断增强团的引领力。</w:t>
      </w:r>
    </w:p>
    <w:p>
      <w:pPr>
        <w:spacing w:line="600" w:lineRule="exact"/>
        <w:ind w:firstLine="640" w:firstLineChars="200"/>
        <w:rPr>
          <w:rFonts w:hint="eastAsia" w:ascii="Times New Roman" w:hAnsi="Times New Roman" w:eastAsia="仿宋_GB2312" w:cs="仿宋_GB2312"/>
          <w:color w:val="auto"/>
          <w:szCs w:val="32"/>
          <w:highlight w:val="none"/>
          <w:lang w:val="en-US" w:eastAsia="zh-CN"/>
        </w:rPr>
      </w:pPr>
      <w:r>
        <w:rPr>
          <w:rFonts w:hint="eastAsia" w:ascii="Times New Roman" w:hAnsi="Times New Roman" w:eastAsia="仿宋_GB2312" w:cs="仿宋_GB2312"/>
          <w:color w:val="auto"/>
          <w:szCs w:val="32"/>
          <w:highlight w:val="none"/>
          <w:lang w:val="en-US" w:eastAsia="zh-CN"/>
        </w:rPr>
        <w:t>坚持用党的创新理论武装青年，用党的初心使命感召青年，用党的光辉旗帜指引青年，帮助广大青年坚定信仰、信念、信心。一是理论武装持续强化。广泛深入各领域团员青年中宣讲习近平新时代中国特色社会主义思想，开展党的二十大精神、建团100周年大会精神、党的青年运动史、新时代的伟大成就4个专题学习，实现全市1447个团支部全覆盖。组织线上“青年大学习”达82万人次，青年跟党初心越扎越牢。二是学习教育扎实有效。着力打造“浏young”青年讲师团宣讲品牌，在红色宣讲、科普教育、普法宣传等8个领域成立青年宣讲团，聘任讲师280余人，服务青少年12万余人次。创新推出市、镇、校、点有机联动的“红色小喇叭”红领巾讲解员校外实践项目，5000余名红领巾讲解员在社会一线实践，传承红色基因。创建中小学校“红领巾电视台”，为全市少先队员提供发挥才能、展示风采的平台，推出300余期节目，浏览量达200多万人次。开展“我在红色景点·传颂红色故事”宣讲比赛和“喜迎二十大 童心永向党”第二届湘赣边中小学生红色故事讲演大赛，鼓励团员青年、少先队员走进爱国主义教育示范基地、红色景区，创作10个精品红色故事宣讲视频，转发学习达12万余人次。三是网络引领更具青年味。创新推出建团百年微电影《浏young青年：时代因奋斗更美好》、抗疫纪实微电影《凡人有光》等系列文创视频，“浏阳青年”、“有为青年”、“燕归巢”系列《浏燕》等文创产品，覆盖青年20万余人次，浏阳共青团微信公众号综合影响力长期位居全省前列。县域微信矩阵不断完善，构建青年市、镇、村三级青年矩阵，按乡村振兴、志愿服务、青年交友等建功大局和兴趣社团等领域组建青年微信矩阵，总数达516个。</w:t>
      </w:r>
    </w:p>
    <w:p>
      <w:pPr>
        <w:spacing w:line="600" w:lineRule="exact"/>
        <w:ind w:firstLine="643" w:firstLineChars="200"/>
        <w:rPr>
          <w:rFonts w:hint="eastAsia" w:ascii="Times New Roman" w:hAnsi="Times New Roman" w:eastAsia="仿宋_GB2312" w:cs="仿宋_GB2312"/>
          <w:color w:val="auto"/>
          <w:szCs w:val="32"/>
          <w:highlight w:val="none"/>
          <w:lang w:val="en-US" w:eastAsia="zh-CN"/>
        </w:rPr>
      </w:pPr>
      <w:r>
        <w:rPr>
          <w:rFonts w:hint="eastAsia" w:ascii="Times New Roman" w:hAnsi="Times New Roman" w:eastAsia="仿宋_GB2312" w:cs="仿宋_GB2312"/>
          <w:b/>
          <w:bCs/>
          <w:color w:val="auto"/>
          <w:szCs w:val="32"/>
          <w:highlight w:val="none"/>
          <w:lang w:val="en-US" w:eastAsia="zh-CN"/>
        </w:rPr>
        <w:t>（二）聚焦建功大局工作主线，不断增强团的贡献度。</w:t>
      </w:r>
    </w:p>
    <w:p>
      <w:pPr>
        <w:spacing w:line="600" w:lineRule="exact"/>
        <w:ind w:firstLine="640" w:firstLineChars="200"/>
        <w:rPr>
          <w:rFonts w:hint="eastAsia" w:ascii="Times New Roman" w:hAnsi="Times New Roman" w:eastAsia="仿宋_GB2312" w:cs="仿宋_GB2312"/>
          <w:color w:val="auto"/>
          <w:szCs w:val="32"/>
          <w:highlight w:val="none"/>
          <w:lang w:val="en-US" w:eastAsia="zh-CN"/>
        </w:rPr>
      </w:pPr>
      <w:r>
        <w:rPr>
          <w:rFonts w:hint="eastAsia" w:ascii="Times New Roman" w:hAnsi="Times New Roman" w:eastAsia="仿宋_GB2312" w:cs="仿宋_GB2312"/>
          <w:color w:val="auto"/>
          <w:szCs w:val="32"/>
          <w:highlight w:val="none"/>
          <w:lang w:val="en-US" w:eastAsia="zh-CN"/>
        </w:rPr>
        <w:t>始终聚焦服务中心大局，团结引领广大青年在基层治理第一线、经济建设主战场、乡村振兴最前沿建功立业。一是引导青年奔赴治理第一线。成立青年志愿者联合会，动员20余万人次参与疫情防控、自建房安全整治等工作。全市3500余名青年向微网格报到，热心为公益，解决微难题，办好微实事，为微网格带来了独具优势的青春活力。二是引导青年建功项目主战场。围绕全市“五个十大”项目，组建20支青年突击队开展“青春建功”竞赛活动，其中椒花水库项目青年突击队，30天征地3100亩、倒房240户，刷新了项目征拆的“浏阳速度”。组建高质量志愿者讲解团队，为全省市州政府督查室主任会议、浏阳市首届文旅发展大会等大型活动提供随车讲解、志愿服务等工作，展现了良好的“浏阳形象”。三是引导青年投身振兴最前沿。组建农业创业者联合会，吸纳106名专技青年担任顾问，为乡村产业发展加油助力。2022年以来，培育省、市十佳农村青年领头雁5人，号召农创联会员参与抗疫献爱心，捐赠物资达15余万元。</w:t>
      </w:r>
    </w:p>
    <w:p>
      <w:pPr>
        <w:spacing w:line="600" w:lineRule="exact"/>
        <w:ind w:firstLine="643" w:firstLineChars="200"/>
        <w:rPr>
          <w:rFonts w:hint="eastAsia" w:ascii="Times New Roman" w:hAnsi="Times New Roman" w:eastAsia="仿宋_GB2312" w:cs="仿宋_GB2312"/>
          <w:b/>
          <w:bCs/>
          <w:color w:val="auto"/>
          <w:szCs w:val="32"/>
          <w:highlight w:val="none"/>
          <w:lang w:val="en-US" w:eastAsia="zh-CN"/>
        </w:rPr>
      </w:pPr>
      <w:r>
        <w:rPr>
          <w:rFonts w:hint="eastAsia" w:ascii="Times New Roman" w:hAnsi="Times New Roman" w:eastAsia="仿宋_GB2312" w:cs="仿宋_GB2312"/>
          <w:b/>
          <w:bCs/>
          <w:color w:val="auto"/>
          <w:szCs w:val="32"/>
          <w:highlight w:val="none"/>
          <w:lang w:val="en-US" w:eastAsia="zh-CN"/>
        </w:rPr>
        <w:t>（三）聚焦青少年“急难愁盼”，不断增强团的服务力。</w:t>
      </w:r>
    </w:p>
    <w:p>
      <w:pPr>
        <w:spacing w:line="600" w:lineRule="exact"/>
        <w:ind w:firstLine="640" w:firstLineChars="200"/>
        <w:rPr>
          <w:rFonts w:hint="eastAsia" w:ascii="Times New Roman" w:hAnsi="Times New Roman" w:eastAsia="仿宋_GB2312" w:cs="仿宋_GB2312"/>
          <w:color w:val="auto"/>
          <w:szCs w:val="32"/>
          <w:highlight w:val="none"/>
          <w:lang w:val="en-US" w:eastAsia="zh-CN"/>
        </w:rPr>
      </w:pPr>
      <w:r>
        <w:rPr>
          <w:rFonts w:hint="eastAsia" w:ascii="Times New Roman" w:hAnsi="Times New Roman" w:eastAsia="仿宋_GB2312" w:cs="仿宋_GB2312"/>
          <w:color w:val="auto"/>
          <w:szCs w:val="32"/>
          <w:highlight w:val="none"/>
          <w:lang w:val="en-US" w:eastAsia="zh-CN"/>
        </w:rPr>
        <w:t>牢记习近平总书记“做青年工作的热心人”这一要求，始终把青年的“急难愁盼”问题放在心上，为青年提供实实在在的帮助。一是在青年健康上真用力。组建首支浏阳市青少年心理辅导志愿服务队，开展“青心呵护·十百千万”计划，建设心灵驿站3个，累计服务青少年4000余人，青少年心理疏导服务机制不断健全。关于构建预防未成年人违法犯罪社会支持体系的政协提案获重点提案交办，不断推进预青工作的有效探索。开展“与法相伴共成长”青少年模拟法庭社会实践活动，联合法检两院、青志联对涉罪青少年进行精准普法、参与志愿服务。二是在青年创业就业上真帮扶。实施青年就业见习计划，连续四年开展“燕归巢·返家乡”活动，组织634名浏阳籍在校大学生在全市企事业单位进行寒暑假实习，获团中央通报表扬。建立青年创业人才汇聚平台，精心打造青年创新创业孵化基地，孵化青创企业11家，服务青年“创客”近700人次。组织青年企业家接待日，邀请市委主要领导为创业青年面对面解决问题。三是在青年社会保障上真关爱。针对青年人才来浏“落脚过渡期”的求职难等问题，在城区、经开区分别建成2处青年人才驿站，截至11月，已为930余名来浏就业大学生提供七天以内免费住宿、就业帮助等服务。创新开展“希望小屋”“圆梦行动”等帮扶活动，筹集善款220万元，帮助困难青少年650余名。今年“希望小屋”项目改造房间118个，为159名困境青少年提供舒适的学习空间，筹集项目款物达190余万元。四是在青年成长上真培育。建立本级青年人才库，扎实开展职业技能、履职能力等培训，培养更多行业骨干、青年先锋。2022年，组织青年相关培训班6期、216人。打造相约“浏young”青年婚恋品牌，积极开展“我在浏阳说爱你”音乐联谊会等青年交友交流活动6次，建立单身青年人才库，精准服务青年1200余名，引导青年树立文明、健康、理性的婚恋观。</w:t>
      </w:r>
    </w:p>
    <w:p>
      <w:pPr>
        <w:spacing w:line="600" w:lineRule="exact"/>
        <w:ind w:firstLine="643" w:firstLineChars="200"/>
        <w:rPr>
          <w:rFonts w:hint="eastAsia" w:ascii="Times New Roman" w:hAnsi="Times New Roman" w:eastAsia="仿宋_GB2312" w:cs="仿宋_GB2312"/>
          <w:color w:val="auto"/>
          <w:szCs w:val="32"/>
          <w:highlight w:val="none"/>
          <w:lang w:val="en-US" w:eastAsia="zh-CN"/>
        </w:rPr>
      </w:pPr>
      <w:r>
        <w:rPr>
          <w:rFonts w:hint="eastAsia" w:ascii="Times New Roman" w:hAnsi="Times New Roman" w:eastAsia="仿宋_GB2312" w:cs="仿宋_GB2312"/>
          <w:b/>
          <w:bCs/>
          <w:color w:val="auto"/>
          <w:szCs w:val="32"/>
          <w:highlight w:val="none"/>
          <w:lang w:val="en-US" w:eastAsia="zh-CN"/>
        </w:rPr>
        <w:t>（四）聚焦从严治团永恒课题，不断提升团的组织力。</w:t>
      </w:r>
    </w:p>
    <w:p>
      <w:pPr>
        <w:spacing w:line="600" w:lineRule="exact"/>
        <w:ind w:firstLine="640" w:firstLineChars="200"/>
        <w:rPr>
          <w:rFonts w:hint="eastAsia" w:ascii="Times New Roman" w:hAnsi="Times New Roman" w:eastAsia="仿宋_GB2312" w:cs="仿宋_GB2312"/>
          <w:color w:val="0000FF"/>
          <w:szCs w:val="32"/>
          <w:highlight w:val="none"/>
          <w:lang w:val="en-US" w:eastAsia="zh-CN"/>
        </w:rPr>
      </w:pPr>
      <w:r>
        <w:rPr>
          <w:rFonts w:hint="eastAsia" w:ascii="Times New Roman" w:hAnsi="Times New Roman" w:eastAsia="仿宋_GB2312" w:cs="仿宋_GB2312"/>
          <w:color w:val="auto"/>
          <w:szCs w:val="32"/>
          <w:highlight w:val="none"/>
          <w:lang w:val="en-US" w:eastAsia="zh-CN"/>
        </w:rPr>
        <w:t>立足新时代新征程，共青团始终聚焦自身建设，在全面改革上下功夫。一是党政重视，高位推动。今年以来，市委市政府高度重视青年工作，着力推动《青年规划》和《县域改革方案》落地落实，市委主要领导参加团市委活动2次，市委常委会听取团青工作汇报2次，主要领导批示相关文件6次，分管副书记牵头制定改革实施方案，市委常委参加团青相关活动8次。二是问题导向，高效发力。针对缺资金的问题，将32.7万元公共预算纳入单位改革专项经费，联合法检两院实施公益服务项目，破除缺资金的问题。建立月工作清单、季工作通报、年工作点评机制抓基层工作，破除基层少落实的问题。通过产业链、市直单位联点等制度，推动青联换届，破解弱联系的问题。三是自我奋斗，高标服务。从推进资源配置方式社会化着手，全面建立青年人才库、团青项目库、社会资源库，在乡村振兴、志愿服务、实践育人、心理帮扶等方面形成浏阳具有稳定政治功能和社会影响力的项目品牌。加强对学校团、队工作的直接领导，在积分入团、名师工作室建设、党团队一体化育人链条完善等方面开创特色亮点。</w:t>
      </w:r>
    </w:p>
    <w:p>
      <w:pPr>
        <w:spacing w:line="600" w:lineRule="exact"/>
        <w:ind w:firstLine="643" w:firstLineChars="200"/>
        <w:rPr>
          <w:rFonts w:hint="eastAsia" w:ascii="Times New Roman" w:hAnsi="Times New Roman" w:eastAsia="楷体_GB2312" w:cs="楷体_GB2312"/>
          <w:b/>
          <w:bCs/>
          <w:szCs w:val="32"/>
        </w:rPr>
      </w:pPr>
      <w:r>
        <w:rPr>
          <w:rFonts w:hint="eastAsia" w:ascii="Times New Roman" w:hAnsi="Times New Roman" w:eastAsia="楷体_GB2312" w:cs="楷体_GB2312"/>
          <w:b/>
          <w:bCs/>
          <w:szCs w:val="32"/>
          <w:lang w:eastAsia="zh-CN"/>
        </w:rPr>
        <w:t>（</w:t>
      </w:r>
      <w:r>
        <w:rPr>
          <w:rFonts w:hint="eastAsia" w:ascii="Times New Roman" w:hAnsi="Times New Roman" w:eastAsia="楷体_GB2312" w:cs="楷体_GB2312"/>
          <w:b/>
          <w:bCs/>
          <w:szCs w:val="32"/>
          <w:lang w:val="en-US" w:eastAsia="zh-CN"/>
        </w:rPr>
        <w:t>3</w:t>
      </w:r>
      <w:r>
        <w:rPr>
          <w:rFonts w:hint="eastAsia" w:ascii="Times New Roman" w:hAnsi="Times New Roman" w:eastAsia="楷体_GB2312" w:cs="楷体_GB2312"/>
          <w:b/>
          <w:bCs/>
          <w:szCs w:val="32"/>
          <w:lang w:eastAsia="zh-CN"/>
        </w:rPr>
        <w:t>）</w:t>
      </w:r>
      <w:r>
        <w:rPr>
          <w:rFonts w:hint="eastAsia" w:ascii="Times New Roman" w:hAnsi="Times New Roman" w:eastAsia="楷体_GB2312" w:cs="楷体_GB2312"/>
          <w:b/>
          <w:bCs/>
          <w:szCs w:val="32"/>
        </w:rPr>
        <w:t>项目</w:t>
      </w:r>
      <w:r>
        <w:rPr>
          <w:rFonts w:hint="eastAsia" w:ascii="Times New Roman" w:hAnsi="Times New Roman" w:eastAsia="楷体_GB2312" w:cs="楷体_GB2312"/>
          <w:b/>
          <w:bCs/>
          <w:szCs w:val="32"/>
          <w:lang w:val="en-US" w:eastAsia="zh-CN"/>
        </w:rPr>
        <w:t>的可持续性分析</w:t>
      </w:r>
      <w:r>
        <w:rPr>
          <w:rFonts w:hint="eastAsia" w:ascii="Times New Roman" w:hAnsi="Times New Roman" w:eastAsia="楷体_GB2312" w:cs="楷体_GB2312"/>
          <w:b/>
          <w:bCs/>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Cs w:val="32"/>
          <w:highlight w:val="none"/>
          <w:lang w:val="en-US" w:eastAsia="zh-CN"/>
        </w:rPr>
      </w:pPr>
      <w:r>
        <w:rPr>
          <w:rFonts w:hint="eastAsia" w:ascii="Times New Roman" w:hAnsi="Times New Roman" w:eastAsia="仿宋_GB2312" w:cs="仿宋_GB2312"/>
          <w:szCs w:val="32"/>
          <w:highlight w:val="none"/>
          <w:lang w:val="en-US" w:eastAsia="zh-CN"/>
        </w:rPr>
        <w:t>政策、资金安排方面。团市委各项目资金围绕特定行政工作任务或事业发展目标而发生，所有政策及资金安排经市政府批准，由市财政统筹或配套安排。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Cs w:val="32"/>
          <w:highlight w:val="none"/>
          <w:lang w:val="en-US" w:eastAsia="zh-CN"/>
        </w:rPr>
      </w:pPr>
      <w:r>
        <w:rPr>
          <w:rFonts w:hint="eastAsia" w:ascii="Times New Roman" w:hAnsi="Times New Roman" w:eastAsia="仿宋_GB2312" w:cs="仿宋_GB2312"/>
          <w:szCs w:val="32"/>
          <w:highlight w:val="none"/>
          <w:lang w:val="en-US" w:eastAsia="zh-CN"/>
        </w:rPr>
        <w:t>人员、机构安排方面。根据《中共浏阳市委、浏阳市人民政府关于印发&lt;浏阳市人民政府机构改革方案实施意见&gt;的通知》（浏发〔2011〕1号）和《中共浏阳市委、浏阳市人民政府关于 &lt;浏阳市人民政府机构设置的通知府机构设置的通知&gt;》（浏发组〔2011〕2号）等相关文件精神，团市委人员及内设机构安排有效保障各项事业的可持续性。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Cs w:val="32"/>
          <w:lang w:val="en-US" w:eastAsia="zh-CN"/>
        </w:rPr>
      </w:pPr>
      <w:r>
        <w:rPr>
          <w:rFonts w:hint="eastAsia" w:ascii="楷体" w:hAnsi="楷体" w:eastAsia="楷体" w:cs="楷体"/>
          <w:b/>
          <w:bCs/>
          <w:szCs w:val="32"/>
          <w:lang w:val="en-US" w:eastAsia="zh-CN"/>
        </w:rPr>
        <w:t>5、综合评价情况及评价结论（附相关评分表）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楷体" w:hAnsi="楷体" w:eastAsia="楷体" w:cs="楷体"/>
          <w:sz w:val="32"/>
          <w:szCs w:val="32"/>
          <w:highlight w:val="none"/>
          <w:lang w:val="en-US" w:eastAsia="zh-CN"/>
        </w:rPr>
        <w:t>（1）青少年发展专项经费。</w:t>
      </w:r>
      <w:r>
        <w:rPr>
          <w:rFonts w:hint="eastAsia" w:ascii="Times New Roman" w:hAnsi="Times New Roman" w:eastAsia="仿宋_GB2312" w:cs="Times New Roman"/>
          <w:sz w:val="32"/>
          <w:szCs w:val="32"/>
          <w:highlight w:val="none"/>
          <w:lang w:val="en-US" w:eastAsia="zh-CN"/>
        </w:rPr>
        <w:t>按照系统治理、依法治理、综合治理、源头治理的原则，牢牢把握“创平安、促发展、保稳定”的工作主题，坚持问题导向、法治思维、改革创新，从更深层次、更广领域、更高标准推进平安浏阳建设，进一步提高群众的安全感和满意度，确保人民安居乐业、社会安定有序。较好的完成年初绩效目标，2022年绩效自评综合得分为98.46分。</w:t>
      </w:r>
    </w:p>
    <w:p>
      <w:pPr>
        <w:pStyle w:val="6"/>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楷体" w:hAnsi="楷体" w:eastAsia="楷体" w:cs="楷体"/>
          <w:sz w:val="32"/>
          <w:szCs w:val="32"/>
          <w:highlight w:val="none"/>
          <w:lang w:val="en-US" w:eastAsia="zh-CN"/>
        </w:rPr>
        <w:t>（2）少先队工作经费。</w:t>
      </w:r>
      <w:r>
        <w:rPr>
          <w:rFonts w:hint="eastAsia" w:ascii="Times New Roman" w:hAnsi="Times New Roman" w:eastAsia="仿宋_GB2312" w:cs="Times New Roman"/>
          <w:sz w:val="32"/>
          <w:szCs w:val="32"/>
          <w:highlight w:val="none"/>
          <w:lang w:val="en-US" w:eastAsia="zh-CN"/>
        </w:rPr>
        <w:t>持续推进平安浏阳建设，进一步提高群众的安全感和满意度，确保人民安居乐业、社会安定有序。较好的完成年初绩效目标，2022年绩效自评综合得分为97.94分。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楷体" w:hAnsi="楷体" w:eastAsia="楷体" w:cs="楷体"/>
          <w:kern w:val="2"/>
          <w:sz w:val="32"/>
          <w:szCs w:val="32"/>
          <w:highlight w:val="none"/>
          <w:lang w:val="en-US" w:eastAsia="zh-CN" w:bidi="ar-SA"/>
        </w:rPr>
        <w:t>（3）五四活动经费。</w:t>
      </w:r>
      <w:r>
        <w:rPr>
          <w:rFonts w:hint="eastAsia" w:ascii="Times New Roman" w:hAnsi="Times New Roman" w:eastAsia="仿宋_GB2312" w:cs="Times New Roman"/>
          <w:sz w:val="32"/>
          <w:szCs w:val="32"/>
          <w:highlight w:val="none"/>
          <w:lang w:val="en-US" w:eastAsia="zh-CN"/>
        </w:rPr>
        <w:t>按照长沙市防病工作领导小组关于落实监护奖励和职业风险补助政策的要求，监护奖励政策要实现区县（市）全覆盖，保障人民群众安全，推进平安浏阳建设。较好的完成年初绩效目标，2022年绩效自评综合得分为98.16分。</w:t>
      </w:r>
    </w:p>
    <w:p>
      <w:pPr>
        <w:pStyle w:val="6"/>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楷体" w:hAnsi="楷体" w:eastAsia="楷体" w:cs="楷体"/>
          <w:kern w:val="2"/>
          <w:sz w:val="32"/>
          <w:szCs w:val="32"/>
          <w:highlight w:val="none"/>
          <w:lang w:val="en-US" w:eastAsia="zh-CN" w:bidi="ar-SA"/>
        </w:rPr>
        <w:t>（4）预防青少年违法犯罪工作经费。</w:t>
      </w:r>
      <w:r>
        <w:rPr>
          <w:rFonts w:hint="eastAsia" w:ascii="Times New Roman" w:hAnsi="Times New Roman" w:eastAsia="仿宋_GB2312" w:cs="Times New Roman"/>
          <w:sz w:val="32"/>
          <w:szCs w:val="32"/>
          <w:highlight w:val="none"/>
          <w:lang w:val="en-US" w:eastAsia="zh-CN"/>
        </w:rPr>
        <w:t>加快推进更高水平的平安浏阳、法治浏阳、和谐浏阳建设。2022年较好的完成年初绩效目标，绩效自评综合得分为98.20分。</w:t>
      </w:r>
    </w:p>
    <w:p>
      <w:pPr>
        <w:pStyle w:val="6"/>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lang w:val="en-US" w:eastAsia="zh-CN"/>
        </w:rPr>
      </w:pPr>
      <w:r>
        <w:rPr>
          <w:rFonts w:hint="eastAsia" w:ascii="楷体" w:hAnsi="楷体" w:eastAsia="楷体" w:cs="楷体"/>
          <w:kern w:val="2"/>
          <w:sz w:val="32"/>
          <w:szCs w:val="32"/>
          <w:highlight w:val="none"/>
          <w:lang w:val="en-US" w:eastAsia="zh-CN" w:bidi="ar-SA"/>
        </w:rPr>
        <w:t>（4）志愿者工作经费。</w:t>
      </w:r>
      <w:r>
        <w:rPr>
          <w:rFonts w:hint="eastAsia" w:ascii="Times New Roman" w:hAnsi="Times New Roman" w:eastAsia="仿宋_GB2312" w:cs="Times New Roman"/>
          <w:sz w:val="32"/>
          <w:szCs w:val="32"/>
          <w:highlight w:val="none"/>
          <w:lang w:val="en-US" w:eastAsia="zh-CN"/>
        </w:rPr>
        <w:t>坚持综合治理、源头治理，健全黑恶势力违法犯罪打防管控一体化运行机制。2022年较好的完成年初绩效目标，绩效自评综合得分为98.20分。</w:t>
      </w:r>
    </w:p>
    <w:p>
      <w:pPr>
        <w:spacing w:line="600" w:lineRule="exact"/>
        <w:ind w:firstLine="643" w:firstLineChars="200"/>
        <w:rPr>
          <w:rFonts w:ascii="楷体" w:hAnsi="楷体" w:eastAsia="楷体" w:cs="楷体"/>
        </w:rPr>
      </w:pPr>
      <w:r>
        <w:rPr>
          <w:rFonts w:hint="eastAsia" w:ascii="楷体" w:hAnsi="楷体" w:eastAsia="楷体" w:cs="楷体"/>
          <w:b/>
          <w:bCs/>
          <w:szCs w:val="32"/>
          <w:lang w:val="en-US" w:eastAsia="zh-CN"/>
        </w:rPr>
        <w:t>6</w:t>
      </w:r>
      <w:r>
        <w:rPr>
          <w:rFonts w:hint="eastAsia" w:ascii="楷体" w:hAnsi="楷体" w:eastAsia="楷体" w:cs="楷体"/>
          <w:b/>
          <w:bCs/>
          <w:szCs w:val="32"/>
        </w:rPr>
        <w:t>、项目绩效评价结果应用建议</w:t>
      </w:r>
    </w:p>
    <w:p>
      <w:pPr>
        <w:spacing w:line="560" w:lineRule="exact"/>
        <w:ind w:firstLine="640" w:firstLineChars="200"/>
        <w:contextualSpacing/>
        <w:outlineLvl w:val="1"/>
        <w:rPr>
          <w:rFonts w:ascii="仿宋_GB2312" w:hAnsi="Times New Roman" w:eastAsia="仿宋_GB2312" w:cs="Times New Roman"/>
          <w:bCs/>
          <w:szCs w:val="32"/>
        </w:rPr>
      </w:pPr>
      <w:r>
        <w:rPr>
          <w:rFonts w:hint="eastAsia" w:ascii="仿宋_GB2312" w:hAnsi="Times New Roman" w:eastAsia="仿宋_GB2312" w:cs="Times New Roman"/>
          <w:bCs/>
          <w:szCs w:val="32"/>
        </w:rPr>
        <w:t>通过对各项目资金的调查和评价，掌握各项目资金的拨付、管理和使用情况，了解项目执行情况、实施情况、项目管理体系建设及相关制度建立执行情况。根据项目的完成情况，运用科学、规范的绩效评价方法，客观反映其社会效益、可持续影响和服务对象满意度。进一步规范项目运作管理机制，强化监督机制，落实措施，保障各项目的有效贯彻落实。</w:t>
      </w:r>
    </w:p>
    <w:p>
      <w:pPr>
        <w:spacing w:line="560" w:lineRule="exact"/>
        <w:ind w:firstLine="640" w:firstLineChars="200"/>
        <w:contextualSpacing/>
        <w:outlineLvl w:val="1"/>
        <w:rPr>
          <w:rFonts w:ascii="仿宋_GB2312" w:hAnsi="Times New Roman" w:eastAsia="仿宋_GB2312" w:cs="Times New Roman"/>
          <w:bCs/>
          <w:szCs w:val="32"/>
        </w:rPr>
      </w:pPr>
      <w:r>
        <w:rPr>
          <w:rFonts w:hint="eastAsia" w:ascii="仿宋_GB2312" w:hAnsi="Times New Roman" w:eastAsia="仿宋_GB2312" w:cs="Times New Roman"/>
          <w:bCs/>
          <w:szCs w:val="32"/>
        </w:rPr>
        <w:t>其次，通过绩效评价发现项目实施过程中存在的问题，总结项目实施过程中的经验，提出有针对性地改进意见和建议，进一步强化部门责任意识和绩效观念，规范项目资金管理制度，完善项目管理机制，提高财政资金使用效益和管理水平，为进一步调整和优化公共财政支出结构和财政资源配置决策提供科学依据；总结预算管理经验，查找资金使用和管理中的薄弱环节，为进一步完善财政政策、改进预算管理、提高预算资金绩效提供依据，为后续项目预算资金安排提供重要参考。</w:t>
      </w:r>
    </w:p>
    <w:p>
      <w:pPr>
        <w:spacing w:line="600" w:lineRule="exact"/>
        <w:ind w:firstLine="643" w:firstLineChars="200"/>
        <w:outlineLvl w:val="2"/>
        <w:rPr>
          <w:rFonts w:ascii="楷体" w:hAnsi="楷体" w:eastAsia="楷体" w:cs="楷体"/>
          <w:b/>
          <w:bCs/>
          <w:szCs w:val="32"/>
        </w:rPr>
      </w:pPr>
      <w:r>
        <w:rPr>
          <w:rFonts w:hint="eastAsia" w:ascii="楷体" w:hAnsi="楷体" w:eastAsia="楷体" w:cs="楷体"/>
          <w:b/>
          <w:bCs/>
          <w:szCs w:val="32"/>
          <w:lang w:val="en-US" w:eastAsia="zh-CN"/>
        </w:rPr>
        <w:t>7</w:t>
      </w:r>
      <w:r>
        <w:rPr>
          <w:rFonts w:hint="eastAsia" w:ascii="楷体" w:hAnsi="楷体" w:eastAsia="楷体" w:cs="楷体"/>
          <w:b/>
          <w:bCs/>
          <w:szCs w:val="32"/>
        </w:rPr>
        <w:t>、主要经验及做法</w:t>
      </w:r>
    </w:p>
    <w:p>
      <w:pPr>
        <w:spacing w:line="560" w:lineRule="exact"/>
        <w:ind w:firstLine="640" w:firstLineChars="200"/>
        <w:contextualSpacing/>
        <w:outlineLvl w:val="1"/>
        <w:rPr>
          <w:rFonts w:hint="eastAsia" w:ascii="仿宋_GB2312" w:hAnsi="Times New Roman" w:eastAsia="仿宋_GB2312" w:cs="Times New Roman"/>
          <w:bCs/>
          <w:szCs w:val="32"/>
        </w:rPr>
      </w:pPr>
      <w:r>
        <w:rPr>
          <w:rFonts w:hint="eastAsia" w:ascii="仿宋_GB2312" w:hAnsi="Times New Roman" w:eastAsia="仿宋_GB2312" w:cs="Times New Roman"/>
          <w:bCs/>
          <w:szCs w:val="32"/>
          <w:lang w:val="en-US" w:eastAsia="zh-CN"/>
        </w:rPr>
        <w:t>单位内部控制制度健全，财务人员配备齐全，强化支出预算管理，加强费用支出管理，强化公务出差、会议、培训、公务接待、公务租车经费审批管理，严格实行政府采购服务管理，坚持厉行节约，严格资金使用和项目组织管理，保障机关正常运转和各项专项工作有序开展，确保项目资金的产出成果及产出效益。</w:t>
      </w:r>
    </w:p>
    <w:p>
      <w:pPr>
        <w:numPr>
          <w:ilvl w:val="255"/>
          <w:numId w:val="0"/>
        </w:numPr>
        <w:spacing w:before="144" w:beforeLines="25" w:line="560" w:lineRule="exact"/>
        <w:ind w:firstLine="643" w:firstLineChars="200"/>
        <w:outlineLvl w:val="0"/>
        <w:rPr>
          <w:rFonts w:ascii="楷体" w:hAnsi="楷体" w:eastAsia="楷体" w:cs="楷体"/>
          <w:b/>
          <w:bCs/>
          <w:szCs w:val="32"/>
        </w:rPr>
      </w:pPr>
      <w:r>
        <w:rPr>
          <w:rFonts w:hint="eastAsia" w:ascii="楷体" w:hAnsi="楷体" w:eastAsia="楷体" w:cs="楷体"/>
          <w:b/>
          <w:bCs/>
          <w:szCs w:val="32"/>
          <w:lang w:val="en-US" w:eastAsia="zh-CN"/>
        </w:rPr>
        <w:t>六</w:t>
      </w:r>
      <w:r>
        <w:rPr>
          <w:rFonts w:hint="eastAsia" w:ascii="楷体" w:hAnsi="楷体" w:eastAsia="楷体" w:cs="楷体"/>
          <w:b/>
          <w:bCs/>
          <w:szCs w:val="32"/>
        </w:rPr>
        <w:t>、存在的</w:t>
      </w:r>
      <w:r>
        <w:rPr>
          <w:rFonts w:hint="eastAsia" w:ascii="楷体" w:hAnsi="楷体" w:eastAsia="楷体" w:cs="楷体"/>
          <w:b/>
          <w:bCs/>
          <w:szCs w:val="32"/>
          <w:lang w:val="en-US" w:eastAsia="zh-CN"/>
        </w:rPr>
        <w:t>主要</w:t>
      </w:r>
      <w:r>
        <w:rPr>
          <w:rFonts w:hint="eastAsia" w:ascii="楷体" w:hAnsi="楷体" w:eastAsia="楷体" w:cs="楷体"/>
          <w:b/>
          <w:bCs/>
          <w:szCs w:val="32"/>
        </w:rPr>
        <w:t>问题</w:t>
      </w:r>
    </w:p>
    <w:p>
      <w:pPr>
        <w:spacing w:line="560" w:lineRule="exact"/>
        <w:ind w:firstLine="640" w:firstLineChars="200"/>
        <w:outlineLvl w:val="1"/>
        <w:rPr>
          <w:rFonts w:hint="eastAsia" w:ascii="楷体_GB2312" w:hAnsi="Times New Roman" w:eastAsia="楷体_GB2312" w:cs="仿宋_GB2312"/>
          <w:bCs/>
          <w:szCs w:val="32"/>
        </w:rPr>
      </w:pPr>
      <w:r>
        <w:rPr>
          <w:rFonts w:hint="eastAsia" w:ascii="楷体_GB2312" w:hAnsi="Times New Roman" w:eastAsia="楷体_GB2312" w:cs="仿宋_GB2312"/>
          <w:bCs/>
          <w:szCs w:val="32"/>
        </w:rPr>
        <w:t>（一）年初预算编制欠严谨，不够科学，年中预算调整较大。</w:t>
      </w:r>
    </w:p>
    <w:p>
      <w:pPr>
        <w:spacing w:line="560" w:lineRule="exact"/>
        <w:ind w:firstLine="640" w:firstLineChars="200"/>
        <w:contextualSpacing/>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eastAsia="zh-CN"/>
        </w:rPr>
        <w:t>团市委</w:t>
      </w:r>
      <w:r>
        <w:rPr>
          <w:rFonts w:hint="eastAsia" w:ascii="Times New Roman" w:hAnsi="Times New Roman" w:eastAsia="仿宋_GB2312" w:cs="Times New Roman"/>
          <w:szCs w:val="32"/>
        </w:rPr>
        <w:t>2022年初预算金额</w:t>
      </w:r>
      <w:r>
        <w:rPr>
          <w:rFonts w:hint="eastAsia" w:ascii="Times New Roman" w:hAnsi="Times New Roman" w:eastAsia="仿宋_GB2312" w:cs="Times New Roman"/>
          <w:szCs w:val="32"/>
          <w:lang w:val="en-US" w:eastAsia="zh-CN"/>
        </w:rPr>
        <w:t>246.32</w:t>
      </w:r>
      <w:r>
        <w:rPr>
          <w:rFonts w:ascii="Times New Roman" w:hAnsi="Times New Roman" w:eastAsia="仿宋_GB2312" w:cs="Times New Roman"/>
          <w:szCs w:val="32"/>
        </w:rPr>
        <w:t>万元，</w:t>
      </w:r>
      <w:r>
        <w:rPr>
          <w:rFonts w:hint="eastAsia" w:ascii="Times New Roman" w:hAnsi="Times New Roman" w:eastAsia="仿宋_GB2312" w:cs="Times New Roman"/>
          <w:szCs w:val="32"/>
        </w:rPr>
        <w:t>年终决算</w:t>
      </w:r>
      <w:r>
        <w:rPr>
          <w:rFonts w:hint="eastAsia" w:ascii="Times New Roman" w:hAnsi="Times New Roman" w:eastAsia="仿宋_GB2312" w:cs="Times New Roman"/>
          <w:szCs w:val="32"/>
          <w:lang w:val="en-US" w:eastAsia="zh-CN"/>
        </w:rPr>
        <w:t>支出266.05</w:t>
      </w:r>
      <w:r>
        <w:rPr>
          <w:rFonts w:ascii="Times New Roman" w:hAnsi="Times New Roman" w:eastAsia="仿宋_GB2312" w:cs="Times New Roman"/>
          <w:szCs w:val="32"/>
        </w:rPr>
        <w:t>万元</w:t>
      </w:r>
      <w:r>
        <w:rPr>
          <w:rFonts w:hint="eastAsia" w:ascii="Times New Roman" w:hAnsi="Times New Roman" w:eastAsia="仿宋_GB2312" w:cs="Times New Roman"/>
          <w:szCs w:val="32"/>
        </w:rPr>
        <w:t>，预算执行偏差率为</w:t>
      </w:r>
      <w:r>
        <w:rPr>
          <w:rFonts w:hint="eastAsia" w:ascii="Times New Roman" w:hAnsi="Times New Roman" w:eastAsia="仿宋_GB2312" w:cs="Times New Roman"/>
          <w:szCs w:val="32"/>
          <w:lang w:val="en-US" w:eastAsia="zh-CN"/>
        </w:rPr>
        <w:t>8.01</w:t>
      </w:r>
      <w:r>
        <w:rPr>
          <w:rFonts w:hint="eastAsia" w:ascii="Times New Roman" w:hAnsi="Times New Roman" w:eastAsia="仿宋_GB2312" w:cs="Times New Roman"/>
          <w:szCs w:val="32"/>
        </w:rPr>
        <w:t>%</w:t>
      </w:r>
      <w:r>
        <w:rPr>
          <w:rFonts w:hint="eastAsia" w:ascii="Times New Roman" w:hAnsi="Times New Roman" w:eastAsia="仿宋_GB2312" w:cs="Times New Roman"/>
          <w:szCs w:val="32"/>
          <w:lang w:eastAsia="zh-CN"/>
        </w:rPr>
        <w:t>。</w:t>
      </w:r>
    </w:p>
    <w:p>
      <w:pPr>
        <w:spacing w:line="560" w:lineRule="exact"/>
        <w:ind w:firstLine="640" w:firstLineChars="200"/>
        <w:contextualSpacing/>
        <w:rPr>
          <w:rFonts w:ascii="Times New Roman" w:hAnsi="Times New Roman" w:eastAsia="仿宋_GB2312" w:cs="Times New Roman"/>
          <w:szCs w:val="32"/>
        </w:rPr>
      </w:pPr>
      <w:r>
        <w:rPr>
          <w:rFonts w:hint="eastAsia" w:ascii="Times New Roman" w:hAnsi="Times New Roman" w:eastAsia="仿宋_GB2312" w:cs="Times New Roman"/>
          <w:szCs w:val="32"/>
        </w:rPr>
        <w:t>以上不符合《中华人民共和国预算法》第六十九条“在预算执行中，各级政府对于必须进行的预算调整，应当编制预算调整方案。预算调整方案应当说明预算调整的理由、项目和数额。”</w:t>
      </w:r>
    </w:p>
    <w:p>
      <w:pPr>
        <w:spacing w:line="560" w:lineRule="exact"/>
        <w:ind w:firstLine="640" w:firstLineChars="200"/>
        <w:outlineLvl w:val="1"/>
        <w:rPr>
          <w:rFonts w:ascii="楷体_GB2312" w:hAnsi="Times New Roman" w:eastAsia="楷体_GB2312" w:cs="仿宋_GB2312"/>
          <w:bCs/>
          <w:szCs w:val="32"/>
        </w:rPr>
      </w:pPr>
      <w:r>
        <w:rPr>
          <w:rFonts w:hint="eastAsia" w:ascii="楷体_GB2312" w:hAnsi="Times New Roman" w:eastAsia="楷体_GB2312" w:cs="仿宋_GB2312"/>
          <w:bCs/>
          <w:szCs w:val="32"/>
        </w:rPr>
        <w:t>（二）项目资金预算绩效目标设定不够明确、不够细化。</w:t>
      </w:r>
    </w:p>
    <w:p>
      <w:pPr>
        <w:spacing w:line="560" w:lineRule="exact"/>
        <w:ind w:firstLine="640" w:firstLineChars="200"/>
        <w:contextualSpacing/>
        <w:rPr>
          <w:rFonts w:ascii="Times New Roman" w:hAnsi="Times New Roman" w:eastAsia="仿宋_GB2312" w:cs="Times New Roman"/>
          <w:szCs w:val="32"/>
        </w:rPr>
      </w:pPr>
      <w:r>
        <w:rPr>
          <w:rFonts w:hint="eastAsia" w:ascii="Times New Roman" w:hAnsi="Times New Roman" w:eastAsia="仿宋_GB2312" w:cs="Times New Roman"/>
          <w:szCs w:val="32"/>
          <w:lang w:eastAsia="zh-CN"/>
        </w:rPr>
        <w:t>团市委</w:t>
      </w:r>
      <w:r>
        <w:rPr>
          <w:rFonts w:hint="eastAsia" w:ascii="Times New Roman" w:hAnsi="Times New Roman" w:eastAsia="仿宋_GB2312" w:cs="Times New Roman"/>
          <w:szCs w:val="32"/>
        </w:rPr>
        <w:t>全年执行中的专项资金项目有</w:t>
      </w:r>
      <w:r>
        <w:rPr>
          <w:rFonts w:hint="eastAsia" w:ascii="Times New Roman" w:hAnsi="Times New Roman" w:eastAsia="仿宋_GB2312" w:cs="Times New Roman"/>
          <w:szCs w:val="32"/>
          <w:lang w:val="en-US" w:eastAsia="zh-CN"/>
        </w:rPr>
        <w:t>4</w:t>
      </w:r>
      <w:r>
        <w:rPr>
          <w:rFonts w:hint="eastAsia" w:ascii="Times New Roman" w:hAnsi="Times New Roman" w:eastAsia="仿宋_GB2312" w:cs="Times New Roman"/>
          <w:szCs w:val="32"/>
        </w:rPr>
        <w:t>个，其申报的绩效目标申报表中的绩效目标表述较为含糊，项目绩效目标都没有设立定量指标。其指标的设定过于笼统，未进行细化，难以进行量化考核，回避了提供公共产品和服务的数量，弱化了绩效目标的导向作用。</w:t>
      </w:r>
    </w:p>
    <w:p>
      <w:pPr>
        <w:spacing w:line="560" w:lineRule="exact"/>
        <w:ind w:firstLine="640" w:firstLineChars="200"/>
        <w:contextualSpacing/>
        <w:rPr>
          <w:rFonts w:ascii="Times New Roman" w:hAnsi="Times New Roman" w:eastAsia="仿宋_GB2312" w:cs="Times New Roman"/>
          <w:szCs w:val="32"/>
        </w:rPr>
      </w:pPr>
      <w:r>
        <w:rPr>
          <w:rFonts w:hint="eastAsia" w:ascii="Times New Roman" w:hAnsi="Times New Roman" w:eastAsia="仿宋_GB2312" w:cs="Times New Roman"/>
          <w:szCs w:val="32"/>
        </w:rPr>
        <w:t>以上不符合湖南省财政厅关于印发《湖南省预算绩效目标管理办法》的通知（湘财绩〔2013〕29号），第三章第十六条“绩效目标应当符合以下要求：指向明确……细化量化……合理可行……相应匹配……绩效指标应与绩效目标密切相关，突出重点，系统全面，便于考核。”</w:t>
      </w:r>
    </w:p>
    <w:p>
      <w:pPr>
        <w:spacing w:line="560" w:lineRule="exact"/>
        <w:ind w:firstLine="640" w:firstLineChars="200"/>
        <w:contextualSpacing/>
        <w:outlineLvl w:val="0"/>
        <w:rPr>
          <w:rFonts w:hint="default" w:ascii="楷体" w:hAnsi="楷体" w:eastAsia="楷体" w:cs="楷体"/>
          <w:b/>
          <w:bCs/>
          <w:szCs w:val="32"/>
          <w:lang w:val="en-US" w:eastAsia="zh-CN"/>
        </w:rPr>
      </w:pPr>
      <w:r>
        <w:rPr>
          <w:rFonts w:hint="eastAsia" w:ascii="楷体_GB2312" w:hAnsi="Times New Roman" w:eastAsia="楷体_GB2312" w:cs="仿宋_GB2312"/>
          <w:bCs/>
          <w:szCs w:val="32"/>
        </w:rPr>
        <w:t xml:space="preserve"> </w:t>
      </w:r>
      <w:r>
        <w:rPr>
          <w:rFonts w:hint="eastAsia" w:ascii="仿宋_GB2312" w:hAnsi="Times New Roman" w:eastAsia="仿宋_GB2312"/>
          <w:b/>
          <w:szCs w:val="32"/>
        </w:rPr>
        <w:t xml:space="preserve"> </w:t>
      </w:r>
      <w:r>
        <w:rPr>
          <w:rFonts w:hint="eastAsia" w:ascii="仿宋_GB2312" w:hAnsi="Times New Roman" w:eastAsia="仿宋_GB2312"/>
          <w:b/>
          <w:szCs w:val="32"/>
          <w:lang w:val="en-US" w:eastAsia="zh-CN"/>
        </w:rPr>
        <w:t>七</w:t>
      </w:r>
      <w:r>
        <w:rPr>
          <w:rFonts w:hint="eastAsia" w:ascii="楷体" w:hAnsi="楷体" w:eastAsia="楷体" w:cs="楷体"/>
          <w:b/>
          <w:bCs/>
          <w:szCs w:val="32"/>
        </w:rPr>
        <w:t>、改进措施</w:t>
      </w:r>
      <w:r>
        <w:rPr>
          <w:rFonts w:hint="eastAsia" w:ascii="楷体" w:hAnsi="楷体" w:eastAsia="楷体" w:cs="楷体"/>
          <w:b/>
          <w:bCs/>
          <w:szCs w:val="32"/>
          <w:lang w:val="en-US" w:eastAsia="zh-CN"/>
        </w:rPr>
        <w:t>和有关建议</w:t>
      </w:r>
    </w:p>
    <w:p>
      <w:pPr>
        <w:spacing w:line="560" w:lineRule="exact"/>
        <w:ind w:firstLine="640" w:firstLineChars="200"/>
        <w:outlineLvl w:val="1"/>
        <w:rPr>
          <w:rFonts w:ascii="楷体_GB2312" w:hAnsi="Times New Roman" w:eastAsia="楷体_GB2312" w:cs="仿宋_GB2312"/>
          <w:bCs/>
          <w:szCs w:val="32"/>
        </w:rPr>
      </w:pPr>
      <w:r>
        <w:rPr>
          <w:rFonts w:hint="eastAsia" w:ascii="楷体_GB2312" w:hAnsi="Times New Roman" w:eastAsia="楷体_GB2312" w:cs="仿宋_GB2312"/>
          <w:bCs/>
          <w:szCs w:val="32"/>
        </w:rPr>
        <w:t>（一）建议完善预算编制流程，科学合理编制年初预算。</w:t>
      </w:r>
    </w:p>
    <w:p>
      <w:pPr>
        <w:spacing w:line="560" w:lineRule="exact"/>
        <w:ind w:firstLine="640" w:firstLineChars="200"/>
        <w:contextualSpacing/>
        <w:rPr>
          <w:rFonts w:ascii="Times New Roman" w:hAnsi="Times New Roman" w:eastAsia="仿宋_GB2312" w:cs="Times New Roman"/>
          <w:szCs w:val="32"/>
        </w:rPr>
      </w:pPr>
      <w:r>
        <w:rPr>
          <w:rFonts w:hint="eastAsia" w:ascii="Times New Roman" w:hAnsi="Times New Roman" w:eastAsia="仿宋_GB2312" w:cs="Times New Roman"/>
          <w:szCs w:val="32"/>
        </w:rPr>
        <w:t>建议</w:t>
      </w:r>
      <w:r>
        <w:rPr>
          <w:rFonts w:hint="eastAsia" w:ascii="Times New Roman" w:hAnsi="Times New Roman" w:eastAsia="仿宋_GB2312" w:cs="Times New Roman"/>
          <w:szCs w:val="32"/>
          <w:lang w:eastAsia="zh-CN"/>
        </w:rPr>
        <w:t>单位</w:t>
      </w:r>
      <w:r>
        <w:rPr>
          <w:rFonts w:hint="eastAsia" w:ascii="Times New Roman" w:hAnsi="Times New Roman" w:eastAsia="仿宋_GB2312" w:cs="Times New Roman"/>
          <w:szCs w:val="32"/>
        </w:rPr>
        <w:t>在编制项目预算时，严格按照《预算法》及其实施条例的相关规定，参考上一年的预算执行情况、年初资金结余情况和年度中的项目支出预测情况，科学合理编制预算，尽量将综合项目预算进行细分到具体项目，并注明分配依据及预计付款时段，使编制的预算更加细化精确，便于操作，与部门实际情况相接近。财政部门据此对年初及年中预算金额及指标下达时间进行整体统筹，以避免临时性调整预算过大。</w:t>
      </w:r>
    </w:p>
    <w:p>
      <w:pPr>
        <w:spacing w:line="560" w:lineRule="exact"/>
        <w:ind w:firstLine="640" w:firstLineChars="200"/>
        <w:outlineLvl w:val="0"/>
        <w:rPr>
          <w:rFonts w:ascii="楷体_GB2312" w:hAnsi="Times New Roman" w:eastAsia="楷体_GB2312" w:cs="仿宋_GB2312"/>
          <w:bCs/>
          <w:szCs w:val="32"/>
        </w:rPr>
      </w:pPr>
      <w:r>
        <w:rPr>
          <w:rFonts w:hint="eastAsia" w:ascii="楷体_GB2312" w:hAnsi="Times New Roman" w:eastAsia="楷体_GB2312" w:cs="仿宋_GB2312"/>
          <w:bCs/>
          <w:szCs w:val="32"/>
        </w:rPr>
        <w:t>（二）建议强化项目绩效目标管理，规范项目绩效目标编制，及时设定健全、细化、合理及便于量化考核的绩效目标。</w:t>
      </w:r>
    </w:p>
    <w:p>
      <w:pPr>
        <w:spacing w:line="560" w:lineRule="exact"/>
        <w:ind w:firstLine="640" w:firstLineChars="200"/>
        <w:contextualSpacing/>
        <w:rPr>
          <w:rFonts w:ascii="Times New Roman" w:hAnsi="Times New Roman" w:eastAsia="仿宋_GB2312" w:cs="Times New Roman"/>
          <w:szCs w:val="32"/>
        </w:rPr>
      </w:pPr>
      <w:r>
        <w:rPr>
          <w:rFonts w:hint="eastAsia" w:ascii="Times New Roman" w:hAnsi="Times New Roman" w:eastAsia="仿宋_GB2312" w:cs="Times New Roman"/>
          <w:szCs w:val="32"/>
        </w:rPr>
        <w:t>建议</w:t>
      </w:r>
      <w:r>
        <w:rPr>
          <w:rFonts w:hint="eastAsia" w:ascii="Times New Roman" w:hAnsi="Times New Roman" w:eastAsia="仿宋_GB2312" w:cs="Times New Roman"/>
          <w:szCs w:val="32"/>
          <w:lang w:eastAsia="zh-CN"/>
        </w:rPr>
        <w:t>单位</w:t>
      </w:r>
      <w:r>
        <w:rPr>
          <w:rFonts w:hint="eastAsia" w:ascii="Times New Roman" w:hAnsi="Times New Roman" w:eastAsia="仿宋_GB2312" w:cs="Times New Roman"/>
          <w:szCs w:val="32"/>
        </w:rPr>
        <w:t>对所有列入预算的财政资金项目进行分类梳理，每个类别项目均应填报项目支出预算绩效目标申报表，根据项目内容，科学合理制定项目绩效目标，其绩效目标不能过于笼统，应做到细化、量化、可执行、可考核。如因项目情况特殊，绩效目标不能量化的，可采用少量定性表述，但需具有可衡量的考核标准。</w:t>
      </w:r>
    </w:p>
    <w:p>
      <w:pPr>
        <w:numPr>
          <w:ilvl w:val="255"/>
          <w:numId w:val="0"/>
        </w:numPr>
        <w:spacing w:before="144" w:beforeLines="25" w:line="560" w:lineRule="exact"/>
        <w:ind w:firstLine="643" w:firstLineChars="200"/>
        <w:outlineLvl w:val="0"/>
        <w:rPr>
          <w:rFonts w:hint="default" w:ascii="楷体" w:hAnsi="楷体" w:eastAsia="楷体" w:cs="楷体"/>
          <w:b/>
          <w:bCs/>
          <w:szCs w:val="32"/>
          <w:lang w:val="en-US" w:eastAsia="zh-CN"/>
        </w:rPr>
      </w:pPr>
      <w:r>
        <w:rPr>
          <w:rFonts w:hint="eastAsia" w:ascii="楷体" w:hAnsi="楷体" w:eastAsia="楷体" w:cs="楷体"/>
          <w:b/>
          <w:bCs/>
          <w:szCs w:val="32"/>
          <w:lang w:val="en-US" w:eastAsia="zh-CN"/>
        </w:rPr>
        <w:t>八</w:t>
      </w:r>
      <w:r>
        <w:rPr>
          <w:rFonts w:hint="eastAsia" w:ascii="楷体" w:hAnsi="楷体" w:eastAsia="楷体" w:cs="楷体"/>
          <w:b/>
          <w:bCs/>
          <w:szCs w:val="32"/>
        </w:rPr>
        <w:t>、</w:t>
      </w:r>
      <w:r>
        <w:rPr>
          <w:rFonts w:hint="eastAsia" w:ascii="楷体" w:hAnsi="楷体" w:eastAsia="楷体" w:cs="楷体"/>
          <w:b/>
          <w:bCs/>
          <w:szCs w:val="32"/>
          <w:lang w:val="en-US" w:eastAsia="zh-CN"/>
        </w:rPr>
        <w:t>单位在资金管理、项目管理等方面的先进经验及做法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楷体" w:hAnsi="楷体" w:eastAsia="楷体" w:cs="楷体"/>
          <w:sz w:val="32"/>
          <w:szCs w:val="32"/>
          <w:highlight w:val="none"/>
          <w:lang w:val="en-US" w:eastAsia="zh-CN"/>
        </w:rPr>
        <w:t>1、健全财务管理制度，规范资金使用。</w:t>
      </w:r>
      <w:r>
        <w:rPr>
          <w:rFonts w:hint="eastAsia" w:ascii="Times New Roman" w:hAnsi="Times New Roman" w:eastAsia="仿宋_GB2312" w:cs="Times New Roman"/>
          <w:sz w:val="32"/>
          <w:szCs w:val="32"/>
          <w:highlight w:val="none"/>
          <w:lang w:val="en-US" w:eastAsia="zh-CN"/>
        </w:rPr>
        <w:t>团市委根据专项资金性质和管理要求完善资金管理办法及相关制度，对专项资金进行了专项核算，确保资金收支情况清晰明了。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楷体" w:hAnsi="楷体" w:eastAsia="楷体" w:cs="楷体"/>
          <w:sz w:val="32"/>
          <w:szCs w:val="32"/>
          <w:highlight w:val="none"/>
          <w:lang w:val="en-US" w:eastAsia="zh-CN"/>
        </w:rPr>
        <w:t>2、严格项目监督、加强资金监管。</w:t>
      </w:r>
      <w:r>
        <w:rPr>
          <w:rFonts w:hint="default" w:ascii="Times New Roman" w:hAnsi="Times New Roman" w:eastAsia="仿宋_GB2312" w:cs="Times New Roman"/>
          <w:sz w:val="32"/>
          <w:szCs w:val="32"/>
          <w:highlight w:val="none"/>
          <w:lang w:val="en-US" w:eastAsia="zh-CN"/>
        </w:rPr>
        <w:t>严格按照《</w:t>
      </w:r>
      <w:r>
        <w:rPr>
          <w:rFonts w:hint="eastAsia" w:ascii="Times New Roman" w:hAnsi="Times New Roman" w:eastAsia="仿宋_GB2312" w:cs="Times New Roman"/>
          <w:sz w:val="32"/>
          <w:szCs w:val="32"/>
          <w:highlight w:val="none"/>
          <w:lang w:val="en-US" w:eastAsia="zh-CN"/>
        </w:rPr>
        <w:t>政府会计制度</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、《浏阳市团市委专项资金管理办法（试行）》</w:t>
      </w:r>
      <w:r>
        <w:rPr>
          <w:rFonts w:hint="default" w:ascii="Times New Roman" w:hAnsi="Times New Roman" w:eastAsia="仿宋_GB2312" w:cs="Times New Roman"/>
          <w:sz w:val="32"/>
          <w:szCs w:val="32"/>
          <w:highlight w:val="none"/>
          <w:lang w:val="en-US" w:eastAsia="zh-CN"/>
        </w:rPr>
        <w:t>有关条款执行，实行专款专用、专项核算、公开公示、定期跟踪。</w:t>
      </w:r>
    </w:p>
    <w:p>
      <w:pPr>
        <w:numPr>
          <w:ilvl w:val="255"/>
          <w:numId w:val="0"/>
        </w:numPr>
        <w:spacing w:before="144" w:beforeLines="25" w:line="560" w:lineRule="exact"/>
        <w:ind w:firstLine="643" w:firstLineChars="200"/>
        <w:outlineLvl w:val="0"/>
        <w:rPr>
          <w:rFonts w:hint="default" w:ascii="楷体" w:hAnsi="楷体" w:eastAsia="楷体" w:cs="楷体"/>
          <w:b/>
          <w:bCs/>
          <w:szCs w:val="32"/>
          <w:lang w:val="en-US" w:eastAsia="zh-CN"/>
        </w:rPr>
      </w:pPr>
      <w:r>
        <w:rPr>
          <w:rFonts w:hint="eastAsia" w:ascii="楷体" w:hAnsi="楷体" w:eastAsia="楷体" w:cs="楷体"/>
          <w:b/>
          <w:bCs/>
          <w:szCs w:val="32"/>
          <w:lang w:val="en-US" w:eastAsia="zh-CN"/>
        </w:rPr>
        <w:t>九</w:t>
      </w:r>
      <w:r>
        <w:rPr>
          <w:rFonts w:hint="eastAsia" w:ascii="楷体" w:hAnsi="楷体" w:eastAsia="楷体" w:cs="楷体"/>
          <w:b/>
          <w:bCs/>
          <w:szCs w:val="32"/>
        </w:rPr>
        <w:t>、</w:t>
      </w:r>
      <w:r>
        <w:rPr>
          <w:rFonts w:hint="eastAsia" w:ascii="楷体" w:hAnsi="楷体" w:eastAsia="楷体" w:cs="楷体"/>
          <w:b/>
          <w:bCs/>
          <w:szCs w:val="32"/>
          <w:lang w:val="en-US" w:eastAsia="zh-CN"/>
        </w:rPr>
        <w:t>部门整体支出绩效评价等级</w:t>
      </w:r>
    </w:p>
    <w:p>
      <w:pPr>
        <w:spacing w:line="560" w:lineRule="exact"/>
        <w:ind w:firstLine="640" w:firstLineChars="200"/>
        <w:contextualSpacing/>
        <w:rPr>
          <w:rFonts w:ascii="Times New Roman" w:hAnsi="Times New Roman" w:eastAsia="仿宋_GB2312" w:cs="Times New Roman"/>
          <w:szCs w:val="32"/>
        </w:rPr>
      </w:pPr>
      <w:r>
        <w:rPr>
          <w:rFonts w:ascii="Times New Roman" w:hAnsi="Times New Roman" w:eastAsia="仿宋_GB2312" w:cs="Times New Roman"/>
          <w:szCs w:val="32"/>
        </w:rPr>
        <w:t>经综合评价，</w:t>
      </w:r>
      <w:r>
        <w:rPr>
          <w:rFonts w:hint="eastAsia" w:ascii="Times New Roman" w:hAnsi="Times New Roman" w:eastAsia="仿宋_GB2312" w:cs="Times New Roman"/>
          <w:szCs w:val="32"/>
        </w:rPr>
        <w:t>我单位2022年</w:t>
      </w:r>
      <w:r>
        <w:rPr>
          <w:rFonts w:ascii="Times New Roman" w:hAnsi="Times New Roman" w:eastAsia="仿宋_GB2312" w:cs="Times New Roman"/>
          <w:szCs w:val="32"/>
        </w:rPr>
        <w:t>部门整体支出绩效评价得分</w:t>
      </w:r>
      <w:r>
        <w:rPr>
          <w:rFonts w:hint="eastAsia" w:ascii="Times New Roman" w:hAnsi="Times New Roman" w:eastAsia="仿宋_GB2312" w:cs="Times New Roman"/>
          <w:color w:val="000000" w:themeColor="text1"/>
          <w:szCs w:val="32"/>
          <w:lang w:val="en-US" w:eastAsia="zh-CN"/>
        </w:rPr>
        <w:t>97.57</w:t>
      </w:r>
      <w:r>
        <w:rPr>
          <w:rFonts w:ascii="Times New Roman" w:hAnsi="Times New Roman" w:eastAsia="仿宋_GB2312" w:cs="Times New Roman"/>
          <w:color w:val="000000" w:themeColor="text1"/>
          <w:szCs w:val="32"/>
        </w:rPr>
        <w:t>分，</w:t>
      </w:r>
      <w:r>
        <w:rPr>
          <w:rFonts w:ascii="Times New Roman" w:hAnsi="Times New Roman" w:eastAsia="仿宋_GB2312" w:cs="Times New Roman"/>
          <w:szCs w:val="32"/>
        </w:rPr>
        <w:t>评价结果为“</w:t>
      </w:r>
      <w:r>
        <w:rPr>
          <w:rFonts w:hint="eastAsia" w:ascii="Times New Roman" w:hAnsi="Times New Roman" w:eastAsia="仿宋_GB2312" w:cs="Times New Roman"/>
          <w:szCs w:val="32"/>
        </w:rPr>
        <w:t>优</w:t>
      </w:r>
      <w:r>
        <w:rPr>
          <w:rFonts w:ascii="Times New Roman" w:hAnsi="Times New Roman" w:eastAsia="仿宋_GB2312" w:cs="Times New Roman"/>
          <w:szCs w:val="32"/>
        </w:rPr>
        <w:t>”。得分明细如下：</w:t>
      </w:r>
    </w:p>
    <w:p>
      <w:pPr>
        <w:numPr>
          <w:ilvl w:val="255"/>
          <w:numId w:val="0"/>
        </w:numPr>
        <w:spacing w:line="560" w:lineRule="exact"/>
        <w:ind w:firstLine="643" w:firstLineChars="200"/>
        <w:outlineLvl w:val="1"/>
        <w:rPr>
          <w:rFonts w:hint="eastAsia" w:ascii="楷体" w:hAnsi="楷体" w:eastAsia="楷体" w:cs="楷体"/>
          <w:b/>
          <w:bCs/>
          <w:szCs w:val="32"/>
          <w:lang w:val="en-US" w:eastAsia="zh-CN"/>
        </w:rPr>
      </w:pPr>
      <w:r>
        <w:rPr>
          <w:rFonts w:hint="eastAsia" w:ascii="楷体" w:hAnsi="楷体" w:eastAsia="楷体" w:cs="楷体"/>
          <w:b/>
          <w:bCs/>
          <w:szCs w:val="32"/>
        </w:rPr>
        <w:t>（一）</w:t>
      </w:r>
      <w:r>
        <w:rPr>
          <w:rFonts w:hint="eastAsia" w:ascii="楷体" w:hAnsi="楷体" w:eastAsia="楷体" w:cs="楷体"/>
          <w:b/>
          <w:bCs/>
          <w:szCs w:val="32"/>
          <w:lang w:val="en-US" w:eastAsia="zh-CN"/>
        </w:rPr>
        <w:t>投入管理</w:t>
      </w:r>
    </w:p>
    <w:p>
      <w:pPr>
        <w:spacing w:line="560" w:lineRule="exact"/>
        <w:ind w:firstLine="640" w:firstLineChars="200"/>
        <w:contextualSpacing/>
        <w:rPr>
          <w:rFonts w:ascii="Times New Roman" w:hAnsi="Times New Roman" w:eastAsia="仿宋_GB2312" w:cs="Times New Roman"/>
          <w:szCs w:val="32"/>
        </w:rPr>
      </w:pPr>
      <w:r>
        <w:rPr>
          <w:rFonts w:ascii="Times New Roman" w:hAnsi="Times New Roman" w:eastAsia="仿宋_GB2312" w:cs="Times New Roman"/>
          <w:szCs w:val="32"/>
        </w:rPr>
        <w:t>根据评价原则，决策分值</w:t>
      </w:r>
      <w:r>
        <w:rPr>
          <w:rFonts w:hint="eastAsia" w:ascii="Times New Roman" w:hAnsi="Times New Roman" w:eastAsia="仿宋_GB2312" w:cs="Times New Roman"/>
          <w:szCs w:val="32"/>
          <w:lang w:val="en-US" w:eastAsia="zh-CN"/>
        </w:rPr>
        <w:t>3</w:t>
      </w:r>
      <w:r>
        <w:rPr>
          <w:rFonts w:hint="eastAsia" w:ascii="Times New Roman" w:hAnsi="Times New Roman" w:eastAsia="仿宋_GB2312" w:cs="Times New Roman"/>
          <w:szCs w:val="32"/>
        </w:rPr>
        <w:t>0</w:t>
      </w:r>
      <w:r>
        <w:rPr>
          <w:rFonts w:ascii="Times New Roman" w:hAnsi="Times New Roman" w:eastAsia="仿宋_GB2312" w:cs="Times New Roman"/>
          <w:szCs w:val="32"/>
        </w:rPr>
        <w:t>分，评价得分</w:t>
      </w:r>
      <w:r>
        <w:rPr>
          <w:rFonts w:hint="eastAsia" w:ascii="Times New Roman" w:hAnsi="Times New Roman" w:eastAsia="仿宋_GB2312" w:cs="Times New Roman"/>
          <w:color w:val="000000" w:themeColor="text1"/>
          <w:szCs w:val="32"/>
          <w:lang w:val="en-US" w:eastAsia="zh-CN"/>
        </w:rPr>
        <w:t>30</w:t>
      </w:r>
      <w:r>
        <w:rPr>
          <w:rFonts w:ascii="Times New Roman" w:hAnsi="Times New Roman" w:eastAsia="仿宋_GB2312" w:cs="Times New Roman"/>
          <w:color w:val="000000" w:themeColor="text1"/>
          <w:szCs w:val="32"/>
        </w:rPr>
        <w:t>分，得分率</w:t>
      </w:r>
      <w:r>
        <w:rPr>
          <w:rFonts w:hint="eastAsia" w:ascii="Times New Roman" w:hAnsi="Times New Roman" w:eastAsia="仿宋_GB2312" w:cs="Times New Roman"/>
          <w:color w:val="000000" w:themeColor="text1"/>
          <w:szCs w:val="32"/>
          <w:lang w:val="en-US" w:eastAsia="zh-CN"/>
        </w:rPr>
        <w:t>100</w:t>
      </w:r>
      <w:r>
        <w:rPr>
          <w:rFonts w:ascii="Times New Roman" w:hAnsi="Times New Roman" w:eastAsia="仿宋_GB2312" w:cs="Times New Roman"/>
          <w:color w:val="000000" w:themeColor="text1"/>
          <w:szCs w:val="32"/>
        </w:rPr>
        <w:t>%。</w:t>
      </w:r>
    </w:p>
    <w:p>
      <w:pPr>
        <w:spacing w:line="560" w:lineRule="exact"/>
        <w:ind w:firstLine="640" w:firstLineChars="200"/>
        <w:contextualSpacing/>
        <w:rPr>
          <w:rFonts w:ascii="Times New Roman" w:hAnsi="Times New Roman" w:eastAsia="仿宋_GB2312" w:cs="Times New Roman"/>
          <w:szCs w:val="32"/>
        </w:rPr>
      </w:pPr>
      <w:r>
        <w:rPr>
          <w:rFonts w:ascii="Times New Roman" w:hAnsi="Times New Roman" w:eastAsia="仿宋_GB2312" w:cs="Times New Roman"/>
          <w:szCs w:val="32"/>
        </w:rPr>
        <w:t>该指标主要</w:t>
      </w:r>
      <w:r>
        <w:rPr>
          <w:rFonts w:hint="eastAsia" w:ascii="Times New Roman" w:hAnsi="Times New Roman" w:eastAsia="仿宋_GB2312" w:cs="Times New Roman"/>
          <w:szCs w:val="32"/>
        </w:rPr>
        <w:t>根据财政管理工作绩效考核相关办法规定填报</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涉及预算编审管理、预算执行管理及部门结转结余资金管理等八项指标，团市委</w:t>
      </w:r>
      <w:r>
        <w:rPr>
          <w:rFonts w:hint="eastAsia" w:ascii="Times New Roman" w:hAnsi="Times New Roman" w:eastAsia="仿宋_GB2312" w:cs="Times New Roman"/>
          <w:szCs w:val="32"/>
        </w:rPr>
        <w:t>2022年各项</w:t>
      </w:r>
      <w:r>
        <w:rPr>
          <w:rFonts w:hint="eastAsia" w:ascii="Times New Roman" w:hAnsi="Times New Roman" w:eastAsia="仿宋_GB2312" w:cs="Times New Roman"/>
          <w:szCs w:val="32"/>
          <w:lang w:val="en-US" w:eastAsia="zh-CN"/>
        </w:rPr>
        <w:t>指标</w:t>
      </w:r>
      <w:r>
        <w:rPr>
          <w:rFonts w:hint="eastAsia" w:ascii="Times New Roman" w:hAnsi="Times New Roman" w:eastAsia="仿宋_GB2312" w:cs="Times New Roman"/>
          <w:szCs w:val="32"/>
        </w:rPr>
        <w:t>完成情况较好，</w:t>
      </w:r>
      <w:r>
        <w:rPr>
          <w:rFonts w:hint="eastAsia" w:ascii="Times New Roman" w:hAnsi="Times New Roman" w:eastAsia="仿宋_GB2312" w:cs="Times New Roman"/>
          <w:szCs w:val="32"/>
          <w:lang w:val="en-US" w:eastAsia="zh-CN"/>
        </w:rPr>
        <w:t>各项工作均按照</w:t>
      </w:r>
      <w:r>
        <w:rPr>
          <w:rFonts w:hint="eastAsia" w:ascii="Times New Roman" w:hAnsi="Times New Roman" w:eastAsia="仿宋_GB2312" w:cs="Times New Roman"/>
          <w:szCs w:val="32"/>
        </w:rPr>
        <w:t>绩效考核相关规定</w:t>
      </w:r>
      <w:r>
        <w:rPr>
          <w:rFonts w:hint="eastAsia" w:ascii="Times New Roman" w:hAnsi="Times New Roman" w:eastAsia="仿宋_GB2312" w:cs="Times New Roman"/>
          <w:szCs w:val="32"/>
          <w:lang w:val="en-US" w:eastAsia="zh-CN"/>
        </w:rPr>
        <w:t>执行</w:t>
      </w:r>
      <w:r>
        <w:rPr>
          <w:rFonts w:ascii="Times New Roman" w:hAnsi="Times New Roman" w:eastAsia="仿宋_GB2312" w:cs="Times New Roman"/>
          <w:szCs w:val="32"/>
        </w:rPr>
        <w:t>。</w:t>
      </w:r>
    </w:p>
    <w:p>
      <w:pPr>
        <w:numPr>
          <w:ilvl w:val="255"/>
          <w:numId w:val="0"/>
        </w:num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rPr>
        <w:t>（二）产出情况</w:t>
      </w:r>
    </w:p>
    <w:p>
      <w:pPr>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根据评价原则，过程分值</w:t>
      </w:r>
      <w:r>
        <w:rPr>
          <w:rFonts w:hint="eastAsia" w:ascii="Times New Roman" w:hAnsi="Times New Roman" w:eastAsia="仿宋_GB2312" w:cs="Times New Roman"/>
          <w:szCs w:val="32"/>
          <w:lang w:val="en-US" w:eastAsia="zh-CN"/>
        </w:rPr>
        <w:t>25</w:t>
      </w:r>
      <w:r>
        <w:rPr>
          <w:rFonts w:ascii="Times New Roman" w:hAnsi="Times New Roman" w:eastAsia="仿宋_GB2312" w:cs="Times New Roman"/>
          <w:szCs w:val="32"/>
        </w:rPr>
        <w:t>分，评价得分</w:t>
      </w:r>
      <w:r>
        <w:rPr>
          <w:rFonts w:hint="eastAsia" w:ascii="Times New Roman" w:hAnsi="Times New Roman" w:eastAsia="仿宋_GB2312" w:cs="Times New Roman"/>
          <w:szCs w:val="32"/>
          <w:lang w:val="en-US" w:eastAsia="zh-CN"/>
        </w:rPr>
        <w:t>24.36</w:t>
      </w:r>
      <w:r>
        <w:rPr>
          <w:rFonts w:ascii="Times New Roman" w:hAnsi="Times New Roman" w:eastAsia="仿宋_GB2312" w:cs="Times New Roman"/>
          <w:szCs w:val="32"/>
        </w:rPr>
        <w:t>分，得分率</w:t>
      </w:r>
      <w:r>
        <w:rPr>
          <w:rFonts w:hint="eastAsia" w:ascii="Times New Roman" w:hAnsi="Times New Roman" w:eastAsia="仿宋_GB2312" w:cs="Times New Roman"/>
          <w:szCs w:val="32"/>
          <w:lang w:val="en-US" w:eastAsia="zh-CN"/>
        </w:rPr>
        <w:t>97.44</w:t>
      </w:r>
      <w:r>
        <w:rPr>
          <w:rFonts w:ascii="Times New Roman" w:hAnsi="Times New Roman" w:eastAsia="仿宋_GB2312" w:cs="Times New Roman"/>
          <w:szCs w:val="32"/>
        </w:rPr>
        <w:t>%。</w:t>
      </w:r>
    </w:p>
    <w:p>
      <w:pPr>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该指标主要从</w:t>
      </w:r>
      <w:r>
        <w:rPr>
          <w:rFonts w:hint="eastAsia" w:ascii="Times New Roman" w:hAnsi="Times New Roman" w:eastAsia="仿宋_GB2312" w:cs="Times New Roman"/>
          <w:szCs w:val="32"/>
        </w:rPr>
        <w:t>数量指标、质量指标、时效指标及成本指标4</w:t>
      </w:r>
      <w:r>
        <w:rPr>
          <w:rFonts w:ascii="Times New Roman" w:hAnsi="Times New Roman" w:eastAsia="仿宋_GB2312" w:cs="Times New Roman"/>
          <w:szCs w:val="32"/>
        </w:rPr>
        <w:t>个方面</w:t>
      </w:r>
      <w:r>
        <w:rPr>
          <w:rFonts w:hint="eastAsia" w:ascii="Times New Roman" w:hAnsi="Times New Roman" w:eastAsia="仿宋_GB2312" w:cs="Times New Roman"/>
          <w:szCs w:val="32"/>
        </w:rPr>
        <w:t>进行</w:t>
      </w:r>
      <w:r>
        <w:rPr>
          <w:rFonts w:ascii="Times New Roman" w:hAnsi="Times New Roman" w:eastAsia="仿宋_GB2312" w:cs="Times New Roman"/>
          <w:szCs w:val="32"/>
        </w:rPr>
        <w:t>评价，</w:t>
      </w:r>
      <w:r>
        <w:rPr>
          <w:rFonts w:hint="eastAsia" w:ascii="Times New Roman" w:hAnsi="Times New Roman" w:eastAsia="仿宋_GB2312" w:cs="Times New Roman"/>
          <w:szCs w:val="32"/>
        </w:rPr>
        <w:t>评价小组从</w:t>
      </w:r>
      <w:r>
        <w:rPr>
          <w:rFonts w:hint="eastAsia" w:ascii="Times New Roman" w:hAnsi="Times New Roman" w:eastAsia="仿宋_GB2312" w:cs="Times New Roman"/>
          <w:szCs w:val="32"/>
          <w:lang w:val="en-US" w:eastAsia="zh-CN"/>
        </w:rPr>
        <w:t>人员经费支出控制情况</w:t>
      </w:r>
      <w:r>
        <w:rPr>
          <w:rFonts w:hint="eastAsia" w:ascii="Times New Roman" w:hAnsi="Times New Roman" w:eastAsia="仿宋_GB2312" w:cs="Times New Roman"/>
          <w:szCs w:val="32"/>
        </w:rPr>
        <w:t>等各产出情况进行评价，</w:t>
      </w:r>
      <w:r>
        <w:rPr>
          <w:rFonts w:hint="eastAsia" w:ascii="Times New Roman" w:hAnsi="Times New Roman" w:eastAsia="仿宋_GB2312" w:cs="Times New Roman"/>
          <w:szCs w:val="32"/>
          <w:lang w:val="en-US" w:eastAsia="zh-CN"/>
        </w:rPr>
        <w:t>团市委</w:t>
      </w:r>
      <w:r>
        <w:rPr>
          <w:rFonts w:hint="eastAsia" w:ascii="Times New Roman" w:hAnsi="Times New Roman" w:eastAsia="仿宋_GB2312" w:cs="Times New Roman"/>
          <w:szCs w:val="32"/>
        </w:rPr>
        <w:t>2022年各项目完成情况较好，项目产出指标均完成了年初绩效目标</w:t>
      </w:r>
      <w:r>
        <w:rPr>
          <w:rFonts w:ascii="Times New Roman" w:hAnsi="Times New Roman" w:eastAsia="仿宋_GB2312" w:cs="Times New Roman"/>
          <w:szCs w:val="32"/>
        </w:rPr>
        <w:t>。</w:t>
      </w:r>
    </w:p>
    <w:p>
      <w:pPr>
        <w:numPr>
          <w:ilvl w:val="255"/>
          <w:numId w:val="0"/>
        </w:numPr>
        <w:spacing w:line="560" w:lineRule="exact"/>
        <w:ind w:firstLine="643" w:firstLineChars="200"/>
        <w:outlineLvl w:val="1"/>
        <w:rPr>
          <w:rFonts w:ascii="楷体" w:hAnsi="楷体" w:eastAsia="楷体" w:cs="楷体"/>
          <w:b/>
          <w:bCs/>
          <w:szCs w:val="32"/>
        </w:rPr>
      </w:pPr>
      <w:r>
        <w:rPr>
          <w:rFonts w:hint="eastAsia" w:ascii="楷体" w:hAnsi="楷体" w:eastAsia="楷体" w:cs="楷体"/>
          <w:b/>
          <w:bCs/>
          <w:szCs w:val="32"/>
        </w:rPr>
        <w:t>（三）效益情况</w:t>
      </w:r>
    </w:p>
    <w:p>
      <w:pPr>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根据评价原则，产出分值</w:t>
      </w:r>
      <w:r>
        <w:rPr>
          <w:rFonts w:hint="eastAsia" w:ascii="Times New Roman" w:hAnsi="Times New Roman" w:eastAsia="仿宋_GB2312" w:cs="Times New Roman"/>
          <w:szCs w:val="32"/>
          <w:lang w:val="en-US" w:eastAsia="zh-CN"/>
        </w:rPr>
        <w:t>45</w:t>
      </w:r>
      <w:r>
        <w:rPr>
          <w:rFonts w:ascii="Times New Roman" w:hAnsi="Times New Roman" w:eastAsia="仿宋_GB2312" w:cs="Times New Roman"/>
          <w:szCs w:val="32"/>
        </w:rPr>
        <w:t>分，评价得分</w:t>
      </w:r>
      <w:r>
        <w:rPr>
          <w:rFonts w:hint="eastAsia" w:ascii="Times New Roman" w:hAnsi="Times New Roman" w:eastAsia="仿宋_GB2312" w:cs="Times New Roman"/>
          <w:szCs w:val="32"/>
          <w:lang w:val="en-US" w:eastAsia="zh-CN"/>
        </w:rPr>
        <w:t>45</w:t>
      </w:r>
      <w:r>
        <w:rPr>
          <w:rFonts w:ascii="Times New Roman" w:hAnsi="Times New Roman" w:eastAsia="仿宋_GB2312" w:cs="Times New Roman"/>
          <w:szCs w:val="32"/>
        </w:rPr>
        <w:t>分，得分率</w:t>
      </w:r>
      <w:r>
        <w:rPr>
          <w:rFonts w:hint="eastAsia" w:ascii="Times New Roman" w:hAnsi="Times New Roman" w:eastAsia="仿宋_GB2312" w:cs="Times New Roman"/>
          <w:szCs w:val="32"/>
        </w:rPr>
        <w:t>100</w:t>
      </w:r>
      <w:r>
        <w:rPr>
          <w:rFonts w:ascii="Times New Roman" w:hAnsi="Times New Roman" w:eastAsia="仿宋_GB2312" w:cs="Times New Roman"/>
          <w:szCs w:val="32"/>
        </w:rPr>
        <w:t>%。</w:t>
      </w:r>
    </w:p>
    <w:p>
      <w:pPr>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该指标主要从</w:t>
      </w:r>
      <w:r>
        <w:rPr>
          <w:rFonts w:hint="eastAsia" w:ascii="Times New Roman" w:hAnsi="Times New Roman" w:eastAsia="仿宋_GB2312" w:cs="Times New Roman"/>
          <w:szCs w:val="32"/>
        </w:rPr>
        <w:t>经济效益、社会效益、生态效益</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rPr>
        <w:t>可持续效益</w:t>
      </w:r>
      <w:r>
        <w:rPr>
          <w:rFonts w:hint="eastAsia" w:ascii="Times New Roman" w:hAnsi="Times New Roman" w:eastAsia="仿宋_GB2312" w:cs="Times New Roman"/>
          <w:szCs w:val="32"/>
          <w:lang w:val="en-US" w:eastAsia="zh-CN"/>
        </w:rPr>
        <w:t>及</w:t>
      </w:r>
      <w:r>
        <w:rPr>
          <w:rFonts w:hint="eastAsia" w:ascii="Times New Roman" w:hAnsi="Times New Roman" w:eastAsia="仿宋_GB2312" w:cs="Times New Roman"/>
          <w:szCs w:val="32"/>
        </w:rPr>
        <w:t>社会公众或服务对象</w:t>
      </w:r>
      <w:r>
        <w:rPr>
          <w:rFonts w:hint="eastAsia" w:ascii="Times New Roman" w:hAnsi="Times New Roman" w:eastAsia="仿宋_GB2312" w:cs="Times New Roman"/>
          <w:szCs w:val="32"/>
          <w:lang w:val="en-US" w:eastAsia="zh-CN"/>
        </w:rPr>
        <w:t>5</w:t>
      </w:r>
      <w:r>
        <w:rPr>
          <w:rFonts w:ascii="Times New Roman" w:hAnsi="Times New Roman" w:eastAsia="仿宋_GB2312" w:cs="Times New Roman"/>
          <w:szCs w:val="32"/>
        </w:rPr>
        <w:t>个</w:t>
      </w:r>
      <w:r>
        <w:rPr>
          <w:rFonts w:hint="eastAsia" w:ascii="Times New Roman" w:hAnsi="Times New Roman" w:eastAsia="仿宋_GB2312" w:cs="Times New Roman"/>
          <w:szCs w:val="32"/>
        </w:rPr>
        <w:t>方面进行</w:t>
      </w:r>
      <w:r>
        <w:rPr>
          <w:rFonts w:ascii="Times New Roman" w:hAnsi="Times New Roman" w:eastAsia="仿宋_GB2312" w:cs="Times New Roman"/>
          <w:szCs w:val="32"/>
        </w:rPr>
        <w:t>具体评价，</w:t>
      </w:r>
      <w:r>
        <w:rPr>
          <w:rFonts w:hint="eastAsia" w:ascii="Times New Roman" w:hAnsi="Times New Roman" w:eastAsia="仿宋_GB2312" w:cs="Times New Roman"/>
          <w:szCs w:val="32"/>
        </w:rPr>
        <w:t>评价小组从</w:t>
      </w:r>
      <w:r>
        <w:rPr>
          <w:rFonts w:hint="eastAsia" w:ascii="Times New Roman" w:hAnsi="Times New Roman" w:eastAsia="仿宋_GB2312" w:cs="Times New Roman"/>
          <w:szCs w:val="32"/>
          <w:lang w:val="en-US" w:eastAsia="zh-CN"/>
        </w:rPr>
        <w:t>财政收入完成情况</w:t>
      </w:r>
      <w:r>
        <w:rPr>
          <w:rFonts w:hint="eastAsia" w:ascii="Times New Roman" w:hAnsi="Times New Roman" w:eastAsia="仿宋_GB2312" w:cs="Times New Roman"/>
          <w:szCs w:val="32"/>
        </w:rPr>
        <w:t>等效益方面进行评价，</w:t>
      </w:r>
      <w:r>
        <w:rPr>
          <w:rFonts w:hint="eastAsia" w:ascii="Times New Roman" w:hAnsi="Times New Roman" w:eastAsia="仿宋_GB2312" w:cs="Times New Roman"/>
          <w:szCs w:val="32"/>
          <w:lang w:eastAsia="zh-CN"/>
        </w:rPr>
        <w:t>团市委</w:t>
      </w:r>
      <w:r>
        <w:rPr>
          <w:rFonts w:hint="eastAsia" w:ascii="Times New Roman" w:hAnsi="Times New Roman" w:eastAsia="仿宋_GB2312" w:cs="Times New Roman"/>
          <w:szCs w:val="32"/>
        </w:rPr>
        <w:t>2022年较好的完成了年初绩效目标</w:t>
      </w:r>
      <w:r>
        <w:rPr>
          <w:rFonts w:ascii="Times New Roman" w:hAnsi="Times New Roman" w:eastAsia="仿宋_GB2312" w:cs="Times New Roman"/>
          <w:szCs w:val="32"/>
        </w:rPr>
        <w:t>。在评价过程中，</w:t>
      </w:r>
      <w:r>
        <w:rPr>
          <w:rFonts w:hint="eastAsia" w:ascii="Times New Roman" w:hAnsi="Times New Roman" w:eastAsia="仿宋_GB2312" w:cs="Times New Roman"/>
          <w:szCs w:val="32"/>
        </w:rPr>
        <w:t>评价小组</w:t>
      </w:r>
      <w:r>
        <w:rPr>
          <w:rFonts w:ascii="Times New Roman" w:hAnsi="Times New Roman" w:eastAsia="仿宋_GB2312" w:cs="Times New Roman"/>
          <w:szCs w:val="32"/>
        </w:rPr>
        <w:t>通过随机向</w:t>
      </w:r>
      <w:r>
        <w:rPr>
          <w:rFonts w:hint="eastAsia" w:ascii="Times New Roman" w:hAnsi="Times New Roman" w:eastAsia="仿宋_GB2312" w:cs="Times New Roman"/>
          <w:szCs w:val="32"/>
        </w:rPr>
        <w:t>服务企业</w:t>
      </w:r>
      <w:r>
        <w:rPr>
          <w:rFonts w:ascii="Times New Roman" w:hAnsi="Times New Roman" w:eastAsia="仿宋_GB2312" w:cs="Times New Roman"/>
          <w:szCs w:val="32"/>
        </w:rPr>
        <w:t>进行询问调查，满意度达到</w:t>
      </w:r>
      <w:r>
        <w:rPr>
          <w:rFonts w:hint="eastAsia" w:ascii="Times New Roman" w:hAnsi="Times New Roman" w:eastAsia="仿宋_GB2312" w:cs="Times New Roman"/>
          <w:szCs w:val="32"/>
        </w:rPr>
        <w:t>100</w:t>
      </w:r>
      <w:r>
        <w:rPr>
          <w:rFonts w:ascii="Times New Roman" w:hAnsi="Times New Roman" w:eastAsia="仿宋_GB2312" w:cs="Times New Roman"/>
          <w:szCs w:val="32"/>
        </w:rPr>
        <w:t>%。</w:t>
      </w:r>
    </w:p>
    <w:p>
      <w:pPr>
        <w:spacing w:line="560" w:lineRule="exact"/>
        <w:ind w:left="1283" w:leftChars="200" w:hanging="643" w:hangingChars="200"/>
        <w:rPr>
          <w:rFonts w:hint="eastAsia" w:ascii="Times New Roman" w:hAnsi="Times New Roman" w:eastAsia="黑体" w:cs="Times New Roman"/>
          <w:b/>
          <w:bCs/>
          <w:szCs w:val="32"/>
          <w:lang w:eastAsia="zh-CN"/>
        </w:rPr>
      </w:pPr>
    </w:p>
    <w:p>
      <w:pPr>
        <w:spacing w:line="560" w:lineRule="exact"/>
        <w:ind w:left="2240" w:leftChars="200" w:hanging="1600" w:hangingChars="500"/>
        <w:rPr>
          <w:rFonts w:ascii="Times New Roman" w:hAnsi="Times New Roman" w:eastAsia="仿宋_GB2312" w:cs="Times New Roman"/>
          <w:szCs w:val="32"/>
        </w:rPr>
      </w:pPr>
    </w:p>
    <w:p>
      <w:pPr>
        <w:spacing w:line="560" w:lineRule="exact"/>
        <w:ind w:left="2240" w:leftChars="200" w:hanging="1600" w:hangingChars="500"/>
        <w:rPr>
          <w:rFonts w:ascii="Times New Roman" w:hAnsi="Times New Roman" w:eastAsia="仿宋_GB2312" w:cs="Times New Roman"/>
          <w:szCs w:val="32"/>
        </w:rPr>
      </w:pPr>
    </w:p>
    <w:p>
      <w:pPr>
        <w:spacing w:line="560" w:lineRule="exact"/>
        <w:ind w:left="2240" w:leftChars="200" w:hanging="1600" w:hangingChars="500"/>
        <w:rPr>
          <w:rFonts w:ascii="Times New Roman" w:hAnsi="Times New Roman" w:eastAsia="仿宋_GB2312" w:cs="Times New Roman"/>
          <w:szCs w:val="32"/>
        </w:rPr>
      </w:pPr>
    </w:p>
    <w:p>
      <w:pPr>
        <w:spacing w:line="560" w:lineRule="exact"/>
        <w:ind w:left="2240" w:leftChars="200" w:hanging="1600" w:hangingChars="500"/>
        <w:rPr>
          <w:rFonts w:ascii="Times New Roman" w:hAnsi="Times New Roman" w:eastAsia="仿宋_GB2312" w:cs="Times New Roman"/>
          <w:szCs w:val="32"/>
        </w:rPr>
      </w:pPr>
    </w:p>
    <w:p>
      <w:pPr>
        <w:spacing w:line="560" w:lineRule="exact"/>
        <w:ind w:left="2240" w:leftChars="200" w:hanging="1600" w:hangingChars="500"/>
        <w:rPr>
          <w:rFonts w:ascii="Times New Roman" w:hAnsi="Times New Roman" w:eastAsia="仿宋_GB2312" w:cs="Times New Roman"/>
          <w:szCs w:val="32"/>
        </w:rPr>
      </w:pPr>
    </w:p>
    <w:p>
      <w:pPr>
        <w:spacing w:line="560" w:lineRule="exact"/>
        <w:ind w:left="2240" w:leftChars="200" w:hanging="1600" w:hangingChars="500"/>
        <w:rPr>
          <w:rFonts w:ascii="Times New Roman" w:hAnsi="Times New Roman" w:eastAsia="仿宋_GB2312" w:cs="Times New Roman"/>
          <w:szCs w:val="32"/>
        </w:rPr>
      </w:pPr>
    </w:p>
    <w:p>
      <w:pPr>
        <w:spacing w:line="560" w:lineRule="exact"/>
        <w:ind w:left="2240" w:leftChars="200" w:hanging="1600" w:hangingChars="500"/>
        <w:rPr>
          <w:rFonts w:ascii="Times New Roman" w:hAnsi="Times New Roman" w:eastAsia="仿宋_GB2312" w:cs="Times New Roman"/>
          <w:szCs w:val="32"/>
        </w:rPr>
      </w:pPr>
    </w:p>
    <w:p>
      <w:pPr>
        <w:spacing w:line="560" w:lineRule="exact"/>
        <w:ind w:left="2240" w:leftChars="200" w:hanging="1600" w:hangingChars="500"/>
        <w:rPr>
          <w:rFonts w:ascii="Times New Roman" w:hAnsi="Times New Roman" w:eastAsia="仿宋_GB2312" w:cs="Times New Roman"/>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Cs w:val="32"/>
        </w:rPr>
      </w:pPr>
    </w:p>
    <w:sectPr>
      <w:headerReference r:id="rId4" w:type="default"/>
      <w:footerReference r:id="rId5" w:type="default"/>
      <w:pgSz w:w="11906" w:h="16838"/>
      <w:pgMar w:top="1440" w:right="1800" w:bottom="1440" w:left="1800" w:header="851" w:footer="992" w:gutter="0"/>
      <w:cols w:space="0"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方正楷体_GB2312">
    <w:altName w:val="宋体"/>
    <w:panose1 w:val="00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eastAsiaTheme="minor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6bWPI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4o0Uyh4acf308/&#10;H06/vpE3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tY8jICAABjBAAADgAAAAAAAAABACAAAAAfAQAAZHJzL2Uyb0RvYy54bWxQSwUG&#10;AAAAAAYABgBZAQAAwwU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rPr>
        <w:rFonts w:ascii="宋体" w:hAnsi="宋体" w:eastAsia="宋体"/>
        <w:sz w:val="28"/>
        <w:szCs w:val="28"/>
      </w:rPr>
    </w:pPr>
    <w:sdt>
      <w:sdtPr>
        <w:id w:val="-555925227"/>
      </w:sdtPr>
      <w:sdtEndPr>
        <w:rPr>
          <w:rFonts w:ascii="宋体" w:hAnsi="宋体" w:eastAsia="宋体"/>
          <w:sz w:val="28"/>
          <w:szCs w:val="28"/>
        </w:rPr>
      </w:sdtEndPr>
      <w:sdtContent>
        <w:r>
          <w:rPr>
            <w:rStyle w:val="18"/>
            <w:rFonts w:ascii="Times New Roman" w:hAnsi="Times New Roman" w:eastAsia="仿宋_GB2312"/>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rPr>
          <w:t>25</w:t>
        </w:r>
        <w:r>
          <w:rPr>
            <w:rFonts w:ascii="宋体" w:hAnsi="宋体" w:eastAsia="宋体"/>
            <w:sz w:val="28"/>
            <w:szCs w:val="28"/>
          </w:rPr>
          <w:fldChar w:fldCharType="end"/>
        </w:r>
        <w:r>
          <w:rPr>
            <w:rStyle w:val="18"/>
            <w:rFonts w:ascii="Times New Roman" w:hAnsi="Times New Roman" w:eastAsia="仿宋_GB2312"/>
            <w:sz w:val="28"/>
            <w:szCs w:val="28"/>
          </w:rPr>
          <w:t>—</w:t>
        </w:r>
      </w:sdtContent>
    </w:sdt>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2xka9EAAAACAQAADwAAAAAAAAABACAAAAAiAAAAZHJzL2Rvd25yZXYueG1sUEsB&#10;AhQAFAAAAAgAh07iQKDpVzA1AgAAYAQAAA4AAAAAAAAAAQAgAAAAIAEAAGRycy9lMm9Eb2MueG1s&#10;UEsFBgAAAAAGAAYAWQEAAMcFAAAAAA==&#10;">
              <v:fill on="f" focussize="0,0"/>
              <v:stroke on="f" weight="0.5pt"/>
              <v:imagedata o:title=""/>
              <o:lock v:ext="edit" aspectratio="f"/>
              <v:textbox inset="0mm,0mm,0mm,0mm" style="mso-fit-shape-to-text:t;">
                <w:txbxContent>
                  <w:p>
                    <w:pPr>
                      <w:pStyle w:val="5"/>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NGIxMjM0YzY2ZWEwNGYwMzAwYTQ4ZmI0ZWUxMTcifQ=="/>
    <w:docVar w:name="KSO_WPS_MARK_KEY" w:val="fc96aabf-4bb4-4c66-9820-f537e2064280"/>
  </w:docVars>
  <w:rsids>
    <w:rsidRoot w:val="412A3F30"/>
    <w:rsid w:val="0001404F"/>
    <w:rsid w:val="00014A1D"/>
    <w:rsid w:val="00014EC2"/>
    <w:rsid w:val="00015B15"/>
    <w:rsid w:val="000173CB"/>
    <w:rsid w:val="0001795D"/>
    <w:rsid w:val="00023336"/>
    <w:rsid w:val="0002413E"/>
    <w:rsid w:val="000323C4"/>
    <w:rsid w:val="00040644"/>
    <w:rsid w:val="00044005"/>
    <w:rsid w:val="00046B52"/>
    <w:rsid w:val="00047F4D"/>
    <w:rsid w:val="000534E0"/>
    <w:rsid w:val="00054B8F"/>
    <w:rsid w:val="00055384"/>
    <w:rsid w:val="00061877"/>
    <w:rsid w:val="00064AF3"/>
    <w:rsid w:val="00070255"/>
    <w:rsid w:val="000716AB"/>
    <w:rsid w:val="00072043"/>
    <w:rsid w:val="000779F5"/>
    <w:rsid w:val="00082888"/>
    <w:rsid w:val="00085DD8"/>
    <w:rsid w:val="00094F1F"/>
    <w:rsid w:val="000961C4"/>
    <w:rsid w:val="000A3A38"/>
    <w:rsid w:val="000A497B"/>
    <w:rsid w:val="000A4D86"/>
    <w:rsid w:val="000B040B"/>
    <w:rsid w:val="000B4540"/>
    <w:rsid w:val="000B496F"/>
    <w:rsid w:val="000B57B2"/>
    <w:rsid w:val="000B6281"/>
    <w:rsid w:val="000C2752"/>
    <w:rsid w:val="000C3B2F"/>
    <w:rsid w:val="000C7CDC"/>
    <w:rsid w:val="000E105F"/>
    <w:rsid w:val="000F47A6"/>
    <w:rsid w:val="001037CE"/>
    <w:rsid w:val="00112EC4"/>
    <w:rsid w:val="00113E74"/>
    <w:rsid w:val="00121751"/>
    <w:rsid w:val="001245CF"/>
    <w:rsid w:val="001272F0"/>
    <w:rsid w:val="001345C3"/>
    <w:rsid w:val="00135C59"/>
    <w:rsid w:val="00144B4D"/>
    <w:rsid w:val="001465E2"/>
    <w:rsid w:val="0015190B"/>
    <w:rsid w:val="00152C42"/>
    <w:rsid w:val="001530EB"/>
    <w:rsid w:val="0015354E"/>
    <w:rsid w:val="0015562F"/>
    <w:rsid w:val="00161222"/>
    <w:rsid w:val="0016493C"/>
    <w:rsid w:val="00173979"/>
    <w:rsid w:val="001A6DF7"/>
    <w:rsid w:val="001B4F60"/>
    <w:rsid w:val="001C3E8C"/>
    <w:rsid w:val="001C6A66"/>
    <w:rsid w:val="001D48B6"/>
    <w:rsid w:val="001D734B"/>
    <w:rsid w:val="001E05B4"/>
    <w:rsid w:val="001E0689"/>
    <w:rsid w:val="001E5CC2"/>
    <w:rsid w:val="001F03DA"/>
    <w:rsid w:val="001F10F0"/>
    <w:rsid w:val="001F40CB"/>
    <w:rsid w:val="001F44FB"/>
    <w:rsid w:val="00206BD8"/>
    <w:rsid w:val="002103D9"/>
    <w:rsid w:val="00215042"/>
    <w:rsid w:val="00215AA4"/>
    <w:rsid w:val="00216D47"/>
    <w:rsid w:val="00220CC2"/>
    <w:rsid w:val="0022253F"/>
    <w:rsid w:val="00231FA8"/>
    <w:rsid w:val="00250BE8"/>
    <w:rsid w:val="002555C8"/>
    <w:rsid w:val="00261E49"/>
    <w:rsid w:val="00262A37"/>
    <w:rsid w:val="00267375"/>
    <w:rsid w:val="00275AF5"/>
    <w:rsid w:val="00277E64"/>
    <w:rsid w:val="002824B2"/>
    <w:rsid w:val="00284A84"/>
    <w:rsid w:val="00285730"/>
    <w:rsid w:val="00286755"/>
    <w:rsid w:val="002870CF"/>
    <w:rsid w:val="002A7C0A"/>
    <w:rsid w:val="002B2D30"/>
    <w:rsid w:val="002C6598"/>
    <w:rsid w:val="002D0FBF"/>
    <w:rsid w:val="002D1CDF"/>
    <w:rsid w:val="002D4867"/>
    <w:rsid w:val="002D542D"/>
    <w:rsid w:val="002D5BD2"/>
    <w:rsid w:val="002E4051"/>
    <w:rsid w:val="002F0FB6"/>
    <w:rsid w:val="00303DF8"/>
    <w:rsid w:val="00304AF3"/>
    <w:rsid w:val="0030547C"/>
    <w:rsid w:val="003178B8"/>
    <w:rsid w:val="00331F64"/>
    <w:rsid w:val="003328CD"/>
    <w:rsid w:val="003363AD"/>
    <w:rsid w:val="003368AA"/>
    <w:rsid w:val="00337021"/>
    <w:rsid w:val="0034350D"/>
    <w:rsid w:val="00366951"/>
    <w:rsid w:val="00372F98"/>
    <w:rsid w:val="00391B98"/>
    <w:rsid w:val="00395476"/>
    <w:rsid w:val="0039561E"/>
    <w:rsid w:val="00396210"/>
    <w:rsid w:val="003A4AD9"/>
    <w:rsid w:val="003B0BEA"/>
    <w:rsid w:val="003B752F"/>
    <w:rsid w:val="003C0B22"/>
    <w:rsid w:val="003C0E5B"/>
    <w:rsid w:val="003C3B2A"/>
    <w:rsid w:val="003C7AFD"/>
    <w:rsid w:val="003D339E"/>
    <w:rsid w:val="003D5280"/>
    <w:rsid w:val="003F0B54"/>
    <w:rsid w:val="003F1EDB"/>
    <w:rsid w:val="003F4593"/>
    <w:rsid w:val="003F4E4E"/>
    <w:rsid w:val="003F7A07"/>
    <w:rsid w:val="00401E82"/>
    <w:rsid w:val="004067AB"/>
    <w:rsid w:val="00412E2F"/>
    <w:rsid w:val="00414C45"/>
    <w:rsid w:val="00415EE2"/>
    <w:rsid w:val="004204D2"/>
    <w:rsid w:val="00424847"/>
    <w:rsid w:val="00427A95"/>
    <w:rsid w:val="00440885"/>
    <w:rsid w:val="00446B6A"/>
    <w:rsid w:val="00452848"/>
    <w:rsid w:val="00462B9D"/>
    <w:rsid w:val="004678E5"/>
    <w:rsid w:val="004875A6"/>
    <w:rsid w:val="004B3E18"/>
    <w:rsid w:val="004B6F6A"/>
    <w:rsid w:val="004B7CDF"/>
    <w:rsid w:val="004C0455"/>
    <w:rsid w:val="004C62D4"/>
    <w:rsid w:val="004D29C3"/>
    <w:rsid w:val="004E1481"/>
    <w:rsid w:val="004E3503"/>
    <w:rsid w:val="004E3A71"/>
    <w:rsid w:val="004E5392"/>
    <w:rsid w:val="004F58F5"/>
    <w:rsid w:val="004F7B19"/>
    <w:rsid w:val="00501E10"/>
    <w:rsid w:val="00506C6A"/>
    <w:rsid w:val="00506EC6"/>
    <w:rsid w:val="00515E76"/>
    <w:rsid w:val="00516DE5"/>
    <w:rsid w:val="005216BA"/>
    <w:rsid w:val="00530868"/>
    <w:rsid w:val="00550E10"/>
    <w:rsid w:val="005520DA"/>
    <w:rsid w:val="005547A1"/>
    <w:rsid w:val="00556E41"/>
    <w:rsid w:val="00561184"/>
    <w:rsid w:val="00561547"/>
    <w:rsid w:val="00565522"/>
    <w:rsid w:val="005719BD"/>
    <w:rsid w:val="00585644"/>
    <w:rsid w:val="005907C5"/>
    <w:rsid w:val="005A670B"/>
    <w:rsid w:val="005B1982"/>
    <w:rsid w:val="005B2779"/>
    <w:rsid w:val="005B7AB5"/>
    <w:rsid w:val="005C1AA2"/>
    <w:rsid w:val="005C30AA"/>
    <w:rsid w:val="005D110E"/>
    <w:rsid w:val="005D2CB3"/>
    <w:rsid w:val="005D3CC1"/>
    <w:rsid w:val="005D7BC3"/>
    <w:rsid w:val="005E1FD6"/>
    <w:rsid w:val="005E29FA"/>
    <w:rsid w:val="005E5F7C"/>
    <w:rsid w:val="005F215A"/>
    <w:rsid w:val="005F2D5B"/>
    <w:rsid w:val="005F2F8E"/>
    <w:rsid w:val="005F57D3"/>
    <w:rsid w:val="00626C1F"/>
    <w:rsid w:val="0063145B"/>
    <w:rsid w:val="00632325"/>
    <w:rsid w:val="00634BD9"/>
    <w:rsid w:val="00651C00"/>
    <w:rsid w:val="00651D36"/>
    <w:rsid w:val="00666D07"/>
    <w:rsid w:val="006768E4"/>
    <w:rsid w:val="0068166A"/>
    <w:rsid w:val="00693A8A"/>
    <w:rsid w:val="006A4D03"/>
    <w:rsid w:val="006A7410"/>
    <w:rsid w:val="006A7DF2"/>
    <w:rsid w:val="006B2A7B"/>
    <w:rsid w:val="006B6003"/>
    <w:rsid w:val="006D2B20"/>
    <w:rsid w:val="006D2C54"/>
    <w:rsid w:val="006E40E7"/>
    <w:rsid w:val="006E54C1"/>
    <w:rsid w:val="006F73F7"/>
    <w:rsid w:val="00700203"/>
    <w:rsid w:val="00722B63"/>
    <w:rsid w:val="00723C84"/>
    <w:rsid w:val="00725973"/>
    <w:rsid w:val="0073085C"/>
    <w:rsid w:val="0074390C"/>
    <w:rsid w:val="007535B3"/>
    <w:rsid w:val="00757C6B"/>
    <w:rsid w:val="0076755A"/>
    <w:rsid w:val="007704F2"/>
    <w:rsid w:val="00773916"/>
    <w:rsid w:val="00777498"/>
    <w:rsid w:val="0078244A"/>
    <w:rsid w:val="00785B26"/>
    <w:rsid w:val="00792F40"/>
    <w:rsid w:val="007958E0"/>
    <w:rsid w:val="007A37A4"/>
    <w:rsid w:val="007A6D0C"/>
    <w:rsid w:val="007B23E0"/>
    <w:rsid w:val="007B5409"/>
    <w:rsid w:val="007B64C8"/>
    <w:rsid w:val="007C0F2D"/>
    <w:rsid w:val="007C2885"/>
    <w:rsid w:val="007C4A41"/>
    <w:rsid w:val="007E64E9"/>
    <w:rsid w:val="007E6B95"/>
    <w:rsid w:val="007F0081"/>
    <w:rsid w:val="007F3F0B"/>
    <w:rsid w:val="007F478C"/>
    <w:rsid w:val="00800A96"/>
    <w:rsid w:val="00803EFC"/>
    <w:rsid w:val="008122C5"/>
    <w:rsid w:val="00817F9F"/>
    <w:rsid w:val="00823CA1"/>
    <w:rsid w:val="0082414C"/>
    <w:rsid w:val="00830A21"/>
    <w:rsid w:val="00833A82"/>
    <w:rsid w:val="00834319"/>
    <w:rsid w:val="008346C8"/>
    <w:rsid w:val="00847473"/>
    <w:rsid w:val="00851EE4"/>
    <w:rsid w:val="008577D0"/>
    <w:rsid w:val="00860141"/>
    <w:rsid w:val="00865CF8"/>
    <w:rsid w:val="00867118"/>
    <w:rsid w:val="008730D1"/>
    <w:rsid w:val="008765A5"/>
    <w:rsid w:val="00881C07"/>
    <w:rsid w:val="0089404B"/>
    <w:rsid w:val="00895168"/>
    <w:rsid w:val="00897E65"/>
    <w:rsid w:val="008B7B78"/>
    <w:rsid w:val="008C6E05"/>
    <w:rsid w:val="008D07E6"/>
    <w:rsid w:val="008D15C6"/>
    <w:rsid w:val="008D1731"/>
    <w:rsid w:val="008D3C4C"/>
    <w:rsid w:val="008E475A"/>
    <w:rsid w:val="008F10D8"/>
    <w:rsid w:val="009062CD"/>
    <w:rsid w:val="009068AB"/>
    <w:rsid w:val="00911F32"/>
    <w:rsid w:val="009128F9"/>
    <w:rsid w:val="009144DD"/>
    <w:rsid w:val="0092146D"/>
    <w:rsid w:val="009230EF"/>
    <w:rsid w:val="00925685"/>
    <w:rsid w:val="009360D0"/>
    <w:rsid w:val="009366B1"/>
    <w:rsid w:val="0093688C"/>
    <w:rsid w:val="00941F7C"/>
    <w:rsid w:val="0094460A"/>
    <w:rsid w:val="00954367"/>
    <w:rsid w:val="0095496B"/>
    <w:rsid w:val="00963401"/>
    <w:rsid w:val="0096654A"/>
    <w:rsid w:val="00973FB8"/>
    <w:rsid w:val="00974791"/>
    <w:rsid w:val="00976819"/>
    <w:rsid w:val="00984870"/>
    <w:rsid w:val="00987AE2"/>
    <w:rsid w:val="009923E4"/>
    <w:rsid w:val="00997EEC"/>
    <w:rsid w:val="009A1715"/>
    <w:rsid w:val="009A7024"/>
    <w:rsid w:val="009B7F5C"/>
    <w:rsid w:val="009C013C"/>
    <w:rsid w:val="009C11BA"/>
    <w:rsid w:val="009C1E88"/>
    <w:rsid w:val="009C2C02"/>
    <w:rsid w:val="009C3BC3"/>
    <w:rsid w:val="009D0518"/>
    <w:rsid w:val="009D2502"/>
    <w:rsid w:val="009D2DF8"/>
    <w:rsid w:val="009E0211"/>
    <w:rsid w:val="009E4850"/>
    <w:rsid w:val="009E5879"/>
    <w:rsid w:val="009E6533"/>
    <w:rsid w:val="009F3EBF"/>
    <w:rsid w:val="009F4C02"/>
    <w:rsid w:val="009F557C"/>
    <w:rsid w:val="009F7797"/>
    <w:rsid w:val="00A02522"/>
    <w:rsid w:val="00A0284E"/>
    <w:rsid w:val="00A0584C"/>
    <w:rsid w:val="00A11246"/>
    <w:rsid w:val="00A21DF5"/>
    <w:rsid w:val="00A31934"/>
    <w:rsid w:val="00A31B1D"/>
    <w:rsid w:val="00A3353F"/>
    <w:rsid w:val="00A338A4"/>
    <w:rsid w:val="00A33F7A"/>
    <w:rsid w:val="00A35B99"/>
    <w:rsid w:val="00A4018A"/>
    <w:rsid w:val="00A413DC"/>
    <w:rsid w:val="00A5413D"/>
    <w:rsid w:val="00A67D98"/>
    <w:rsid w:val="00A74900"/>
    <w:rsid w:val="00A76056"/>
    <w:rsid w:val="00A81D7F"/>
    <w:rsid w:val="00A85A89"/>
    <w:rsid w:val="00A93A08"/>
    <w:rsid w:val="00A94A80"/>
    <w:rsid w:val="00AB1095"/>
    <w:rsid w:val="00AB4743"/>
    <w:rsid w:val="00AB522C"/>
    <w:rsid w:val="00AC5821"/>
    <w:rsid w:val="00AC69F1"/>
    <w:rsid w:val="00AC76BE"/>
    <w:rsid w:val="00AD136D"/>
    <w:rsid w:val="00AD1453"/>
    <w:rsid w:val="00AD17FE"/>
    <w:rsid w:val="00AD47AC"/>
    <w:rsid w:val="00AD7AA4"/>
    <w:rsid w:val="00AE03C6"/>
    <w:rsid w:val="00AF3F43"/>
    <w:rsid w:val="00AF6B6F"/>
    <w:rsid w:val="00B01101"/>
    <w:rsid w:val="00B02A98"/>
    <w:rsid w:val="00B03707"/>
    <w:rsid w:val="00B10BBB"/>
    <w:rsid w:val="00B27FB8"/>
    <w:rsid w:val="00B338BB"/>
    <w:rsid w:val="00B342E8"/>
    <w:rsid w:val="00B45EB6"/>
    <w:rsid w:val="00B47FAA"/>
    <w:rsid w:val="00B5200B"/>
    <w:rsid w:val="00B5265F"/>
    <w:rsid w:val="00B54454"/>
    <w:rsid w:val="00B63062"/>
    <w:rsid w:val="00B72018"/>
    <w:rsid w:val="00B7549F"/>
    <w:rsid w:val="00B765EA"/>
    <w:rsid w:val="00B80181"/>
    <w:rsid w:val="00B8296A"/>
    <w:rsid w:val="00B82A4E"/>
    <w:rsid w:val="00B863FA"/>
    <w:rsid w:val="00B92181"/>
    <w:rsid w:val="00B96699"/>
    <w:rsid w:val="00BA578C"/>
    <w:rsid w:val="00BC13E5"/>
    <w:rsid w:val="00BC2BF2"/>
    <w:rsid w:val="00BC2C44"/>
    <w:rsid w:val="00BC4FDB"/>
    <w:rsid w:val="00BD24AD"/>
    <w:rsid w:val="00BD4C17"/>
    <w:rsid w:val="00BD6C3A"/>
    <w:rsid w:val="00BE745C"/>
    <w:rsid w:val="00BF22A8"/>
    <w:rsid w:val="00BF39C1"/>
    <w:rsid w:val="00BF53D8"/>
    <w:rsid w:val="00BF65E0"/>
    <w:rsid w:val="00C01586"/>
    <w:rsid w:val="00C12677"/>
    <w:rsid w:val="00C1372A"/>
    <w:rsid w:val="00C1395F"/>
    <w:rsid w:val="00C15B46"/>
    <w:rsid w:val="00C225D1"/>
    <w:rsid w:val="00C26DC8"/>
    <w:rsid w:val="00C33750"/>
    <w:rsid w:val="00C44ECA"/>
    <w:rsid w:val="00C54F32"/>
    <w:rsid w:val="00C55530"/>
    <w:rsid w:val="00C60A5B"/>
    <w:rsid w:val="00C60ADC"/>
    <w:rsid w:val="00C64AAB"/>
    <w:rsid w:val="00C66788"/>
    <w:rsid w:val="00C67ED8"/>
    <w:rsid w:val="00C76895"/>
    <w:rsid w:val="00C84722"/>
    <w:rsid w:val="00C85F20"/>
    <w:rsid w:val="00C87C96"/>
    <w:rsid w:val="00C91C98"/>
    <w:rsid w:val="00C949CB"/>
    <w:rsid w:val="00CA0041"/>
    <w:rsid w:val="00CA1062"/>
    <w:rsid w:val="00CA77FD"/>
    <w:rsid w:val="00CB5494"/>
    <w:rsid w:val="00CC58DE"/>
    <w:rsid w:val="00CC77A7"/>
    <w:rsid w:val="00CD4A09"/>
    <w:rsid w:val="00CD555D"/>
    <w:rsid w:val="00CE0482"/>
    <w:rsid w:val="00CE56C9"/>
    <w:rsid w:val="00CE5AE4"/>
    <w:rsid w:val="00CF3695"/>
    <w:rsid w:val="00CF4CE9"/>
    <w:rsid w:val="00D012D4"/>
    <w:rsid w:val="00D05F20"/>
    <w:rsid w:val="00D1091D"/>
    <w:rsid w:val="00D12BDF"/>
    <w:rsid w:val="00D14BDC"/>
    <w:rsid w:val="00D17A2A"/>
    <w:rsid w:val="00D2031C"/>
    <w:rsid w:val="00D20FB8"/>
    <w:rsid w:val="00D21A63"/>
    <w:rsid w:val="00D25329"/>
    <w:rsid w:val="00D27D7C"/>
    <w:rsid w:val="00D32605"/>
    <w:rsid w:val="00D42C8E"/>
    <w:rsid w:val="00D52DC2"/>
    <w:rsid w:val="00D56E44"/>
    <w:rsid w:val="00D66FD3"/>
    <w:rsid w:val="00D679D0"/>
    <w:rsid w:val="00D76CF0"/>
    <w:rsid w:val="00D84340"/>
    <w:rsid w:val="00D84F0F"/>
    <w:rsid w:val="00D86E03"/>
    <w:rsid w:val="00D929D6"/>
    <w:rsid w:val="00D9726F"/>
    <w:rsid w:val="00DC2AB8"/>
    <w:rsid w:val="00DC6E43"/>
    <w:rsid w:val="00DD3EC9"/>
    <w:rsid w:val="00DD7B23"/>
    <w:rsid w:val="00DD7FBD"/>
    <w:rsid w:val="00DE039E"/>
    <w:rsid w:val="00DE05E9"/>
    <w:rsid w:val="00DE1A53"/>
    <w:rsid w:val="00DE270D"/>
    <w:rsid w:val="00DE5C66"/>
    <w:rsid w:val="00E00CBE"/>
    <w:rsid w:val="00E04415"/>
    <w:rsid w:val="00E06BE7"/>
    <w:rsid w:val="00E123C4"/>
    <w:rsid w:val="00E27CB1"/>
    <w:rsid w:val="00E32CF6"/>
    <w:rsid w:val="00E32D5A"/>
    <w:rsid w:val="00E3440D"/>
    <w:rsid w:val="00E40EED"/>
    <w:rsid w:val="00E561C5"/>
    <w:rsid w:val="00E62B98"/>
    <w:rsid w:val="00E647AF"/>
    <w:rsid w:val="00E656F9"/>
    <w:rsid w:val="00E71985"/>
    <w:rsid w:val="00E7667F"/>
    <w:rsid w:val="00E77B02"/>
    <w:rsid w:val="00E805E6"/>
    <w:rsid w:val="00E82AEC"/>
    <w:rsid w:val="00E82F5A"/>
    <w:rsid w:val="00E85CD8"/>
    <w:rsid w:val="00E87AE5"/>
    <w:rsid w:val="00E921DA"/>
    <w:rsid w:val="00E95F43"/>
    <w:rsid w:val="00EA3E98"/>
    <w:rsid w:val="00EA5B47"/>
    <w:rsid w:val="00EA7872"/>
    <w:rsid w:val="00EB1727"/>
    <w:rsid w:val="00EC4B52"/>
    <w:rsid w:val="00EC5E2E"/>
    <w:rsid w:val="00EC7544"/>
    <w:rsid w:val="00ED52A8"/>
    <w:rsid w:val="00ED7F15"/>
    <w:rsid w:val="00EE278E"/>
    <w:rsid w:val="00EE4887"/>
    <w:rsid w:val="00EE6F85"/>
    <w:rsid w:val="00EF40D8"/>
    <w:rsid w:val="00EF70C1"/>
    <w:rsid w:val="00F01FBC"/>
    <w:rsid w:val="00F0484C"/>
    <w:rsid w:val="00F14B65"/>
    <w:rsid w:val="00F15196"/>
    <w:rsid w:val="00F4173E"/>
    <w:rsid w:val="00F44FE8"/>
    <w:rsid w:val="00F52A8D"/>
    <w:rsid w:val="00F53223"/>
    <w:rsid w:val="00F53226"/>
    <w:rsid w:val="00F563C1"/>
    <w:rsid w:val="00F71B5F"/>
    <w:rsid w:val="00F77AC7"/>
    <w:rsid w:val="00F8068E"/>
    <w:rsid w:val="00F82218"/>
    <w:rsid w:val="00F93724"/>
    <w:rsid w:val="00F94009"/>
    <w:rsid w:val="00F95FB5"/>
    <w:rsid w:val="00FA756B"/>
    <w:rsid w:val="00FB171E"/>
    <w:rsid w:val="00FB4547"/>
    <w:rsid w:val="00FD2AA6"/>
    <w:rsid w:val="00FE17C7"/>
    <w:rsid w:val="00FE188B"/>
    <w:rsid w:val="00FE4CC4"/>
    <w:rsid w:val="00FF2A7B"/>
    <w:rsid w:val="00FF3F2A"/>
    <w:rsid w:val="00FF647C"/>
    <w:rsid w:val="010333FC"/>
    <w:rsid w:val="010415BB"/>
    <w:rsid w:val="01225D05"/>
    <w:rsid w:val="014F7312"/>
    <w:rsid w:val="01514167"/>
    <w:rsid w:val="0159126E"/>
    <w:rsid w:val="01A21C29"/>
    <w:rsid w:val="01A319FB"/>
    <w:rsid w:val="01BF5575"/>
    <w:rsid w:val="01C815A0"/>
    <w:rsid w:val="023F66B6"/>
    <w:rsid w:val="024141DC"/>
    <w:rsid w:val="02447828"/>
    <w:rsid w:val="024A6591"/>
    <w:rsid w:val="025E6F3A"/>
    <w:rsid w:val="026779BA"/>
    <w:rsid w:val="027B210E"/>
    <w:rsid w:val="02867E41"/>
    <w:rsid w:val="02924A37"/>
    <w:rsid w:val="02986115"/>
    <w:rsid w:val="029A175F"/>
    <w:rsid w:val="02A824AD"/>
    <w:rsid w:val="02AD7AC3"/>
    <w:rsid w:val="02B458C1"/>
    <w:rsid w:val="02BA3F8E"/>
    <w:rsid w:val="02C24E60"/>
    <w:rsid w:val="02D17E3E"/>
    <w:rsid w:val="02DB2FCC"/>
    <w:rsid w:val="02F2197A"/>
    <w:rsid w:val="02F7522D"/>
    <w:rsid w:val="031511C4"/>
    <w:rsid w:val="031815FE"/>
    <w:rsid w:val="0322022D"/>
    <w:rsid w:val="032B09E8"/>
    <w:rsid w:val="032F4CAE"/>
    <w:rsid w:val="033C49A3"/>
    <w:rsid w:val="0365214C"/>
    <w:rsid w:val="037B371D"/>
    <w:rsid w:val="03A367D0"/>
    <w:rsid w:val="03CE348B"/>
    <w:rsid w:val="03EA43FF"/>
    <w:rsid w:val="03F37758"/>
    <w:rsid w:val="041651F4"/>
    <w:rsid w:val="042F398A"/>
    <w:rsid w:val="04387860"/>
    <w:rsid w:val="048B3E34"/>
    <w:rsid w:val="049251C3"/>
    <w:rsid w:val="04B769D7"/>
    <w:rsid w:val="04B862AB"/>
    <w:rsid w:val="04C80BE4"/>
    <w:rsid w:val="04E62E18"/>
    <w:rsid w:val="04E90B5B"/>
    <w:rsid w:val="05106E5A"/>
    <w:rsid w:val="05143E6A"/>
    <w:rsid w:val="05201126"/>
    <w:rsid w:val="0543026B"/>
    <w:rsid w:val="05516A50"/>
    <w:rsid w:val="05726FC3"/>
    <w:rsid w:val="05832D9D"/>
    <w:rsid w:val="05882122"/>
    <w:rsid w:val="059746A5"/>
    <w:rsid w:val="05B44CC5"/>
    <w:rsid w:val="05D43FA5"/>
    <w:rsid w:val="05DE7F94"/>
    <w:rsid w:val="05EA06E6"/>
    <w:rsid w:val="0607573C"/>
    <w:rsid w:val="0610546F"/>
    <w:rsid w:val="061B11E8"/>
    <w:rsid w:val="06224324"/>
    <w:rsid w:val="062F7982"/>
    <w:rsid w:val="064A5629"/>
    <w:rsid w:val="06563FCE"/>
    <w:rsid w:val="06606BFB"/>
    <w:rsid w:val="06840B3B"/>
    <w:rsid w:val="068943A3"/>
    <w:rsid w:val="0696086E"/>
    <w:rsid w:val="069E195D"/>
    <w:rsid w:val="069F4072"/>
    <w:rsid w:val="06D7651E"/>
    <w:rsid w:val="071A4FFB"/>
    <w:rsid w:val="072C099A"/>
    <w:rsid w:val="072D4D2F"/>
    <w:rsid w:val="073F1661"/>
    <w:rsid w:val="073F4A62"/>
    <w:rsid w:val="07481817"/>
    <w:rsid w:val="07506DBB"/>
    <w:rsid w:val="075449B1"/>
    <w:rsid w:val="0764271A"/>
    <w:rsid w:val="076F3599"/>
    <w:rsid w:val="077B1445"/>
    <w:rsid w:val="07834FAC"/>
    <w:rsid w:val="07A86AAB"/>
    <w:rsid w:val="07C136C9"/>
    <w:rsid w:val="07C44FDB"/>
    <w:rsid w:val="07C5036C"/>
    <w:rsid w:val="07CD4764"/>
    <w:rsid w:val="07D336EA"/>
    <w:rsid w:val="07D94090"/>
    <w:rsid w:val="07F1142D"/>
    <w:rsid w:val="07F86D74"/>
    <w:rsid w:val="07FE27C0"/>
    <w:rsid w:val="080528C5"/>
    <w:rsid w:val="080C0DE8"/>
    <w:rsid w:val="0817314E"/>
    <w:rsid w:val="081B727D"/>
    <w:rsid w:val="082C3238"/>
    <w:rsid w:val="08314CF2"/>
    <w:rsid w:val="08343DB7"/>
    <w:rsid w:val="08517C00"/>
    <w:rsid w:val="08591B53"/>
    <w:rsid w:val="085A6F61"/>
    <w:rsid w:val="086E1AA3"/>
    <w:rsid w:val="08717938"/>
    <w:rsid w:val="08802820"/>
    <w:rsid w:val="08973051"/>
    <w:rsid w:val="089B3557"/>
    <w:rsid w:val="08AF6032"/>
    <w:rsid w:val="08AF79C5"/>
    <w:rsid w:val="08B848CB"/>
    <w:rsid w:val="08C15EE6"/>
    <w:rsid w:val="08CC67C9"/>
    <w:rsid w:val="08F55AC8"/>
    <w:rsid w:val="092E4D8E"/>
    <w:rsid w:val="09383E5F"/>
    <w:rsid w:val="093A6608"/>
    <w:rsid w:val="094265EE"/>
    <w:rsid w:val="094B46B8"/>
    <w:rsid w:val="09732581"/>
    <w:rsid w:val="0979740A"/>
    <w:rsid w:val="099F5C8C"/>
    <w:rsid w:val="09B434E5"/>
    <w:rsid w:val="09B72FD5"/>
    <w:rsid w:val="09DF606D"/>
    <w:rsid w:val="09E4430F"/>
    <w:rsid w:val="09E75653"/>
    <w:rsid w:val="09F47D86"/>
    <w:rsid w:val="0A005C1C"/>
    <w:rsid w:val="0A03621B"/>
    <w:rsid w:val="0A0D52EB"/>
    <w:rsid w:val="0A3E5BEB"/>
    <w:rsid w:val="0A410AF1"/>
    <w:rsid w:val="0A6767AA"/>
    <w:rsid w:val="0A7F55A7"/>
    <w:rsid w:val="0A825391"/>
    <w:rsid w:val="0A9137E3"/>
    <w:rsid w:val="0AC97464"/>
    <w:rsid w:val="0ACC0D02"/>
    <w:rsid w:val="0AD35BED"/>
    <w:rsid w:val="0AFB5144"/>
    <w:rsid w:val="0B0142F8"/>
    <w:rsid w:val="0B022976"/>
    <w:rsid w:val="0B04049C"/>
    <w:rsid w:val="0B112BB9"/>
    <w:rsid w:val="0B156206"/>
    <w:rsid w:val="0B1F3CE3"/>
    <w:rsid w:val="0B2C19BD"/>
    <w:rsid w:val="0B420FC5"/>
    <w:rsid w:val="0B5002A6"/>
    <w:rsid w:val="0B7738F3"/>
    <w:rsid w:val="0B923CFA"/>
    <w:rsid w:val="0BA14DDA"/>
    <w:rsid w:val="0BB73761"/>
    <w:rsid w:val="0BCD3D94"/>
    <w:rsid w:val="0C060DBC"/>
    <w:rsid w:val="0C0E2E16"/>
    <w:rsid w:val="0C155445"/>
    <w:rsid w:val="0C2D757F"/>
    <w:rsid w:val="0C495168"/>
    <w:rsid w:val="0C7B02EA"/>
    <w:rsid w:val="0C8D6B08"/>
    <w:rsid w:val="0CA56B3A"/>
    <w:rsid w:val="0CB33F28"/>
    <w:rsid w:val="0CC86958"/>
    <w:rsid w:val="0CD67C16"/>
    <w:rsid w:val="0CDC69F0"/>
    <w:rsid w:val="0CE75980"/>
    <w:rsid w:val="0CFE597B"/>
    <w:rsid w:val="0D0A78C0"/>
    <w:rsid w:val="0D1F511A"/>
    <w:rsid w:val="0D26294C"/>
    <w:rsid w:val="0D6126C3"/>
    <w:rsid w:val="0DA43871"/>
    <w:rsid w:val="0DA87805"/>
    <w:rsid w:val="0DAB4BFF"/>
    <w:rsid w:val="0DBE1A50"/>
    <w:rsid w:val="0DBF2128"/>
    <w:rsid w:val="0DBF6485"/>
    <w:rsid w:val="0DE46363"/>
    <w:rsid w:val="0DEF6094"/>
    <w:rsid w:val="0DFE49A3"/>
    <w:rsid w:val="0E1924B1"/>
    <w:rsid w:val="0E1B7FD7"/>
    <w:rsid w:val="0E226BC1"/>
    <w:rsid w:val="0E2F75DE"/>
    <w:rsid w:val="0E451315"/>
    <w:rsid w:val="0E4809CC"/>
    <w:rsid w:val="0E8530AF"/>
    <w:rsid w:val="0E9436ED"/>
    <w:rsid w:val="0EA06F2A"/>
    <w:rsid w:val="0EA93835"/>
    <w:rsid w:val="0EB432A5"/>
    <w:rsid w:val="0EB45D35"/>
    <w:rsid w:val="0EB7512D"/>
    <w:rsid w:val="0EB92796"/>
    <w:rsid w:val="0ED50250"/>
    <w:rsid w:val="0EF10D38"/>
    <w:rsid w:val="0EFD592E"/>
    <w:rsid w:val="0EFE0192"/>
    <w:rsid w:val="0F296723"/>
    <w:rsid w:val="0F44355D"/>
    <w:rsid w:val="0F735BF1"/>
    <w:rsid w:val="0F786E19"/>
    <w:rsid w:val="0F933B9D"/>
    <w:rsid w:val="0FB3423F"/>
    <w:rsid w:val="0FC1507C"/>
    <w:rsid w:val="0FCC70AF"/>
    <w:rsid w:val="0FDA5C70"/>
    <w:rsid w:val="0FDD12BC"/>
    <w:rsid w:val="0FE60171"/>
    <w:rsid w:val="10022AD1"/>
    <w:rsid w:val="1025167B"/>
    <w:rsid w:val="102C09CA"/>
    <w:rsid w:val="10552CBA"/>
    <w:rsid w:val="10560A13"/>
    <w:rsid w:val="10601A98"/>
    <w:rsid w:val="10634FAD"/>
    <w:rsid w:val="1091537A"/>
    <w:rsid w:val="10A047CB"/>
    <w:rsid w:val="10BD492F"/>
    <w:rsid w:val="10BE4C49"/>
    <w:rsid w:val="10BF3B0C"/>
    <w:rsid w:val="10C1473A"/>
    <w:rsid w:val="10D8131B"/>
    <w:rsid w:val="10DE709A"/>
    <w:rsid w:val="10F74FB5"/>
    <w:rsid w:val="1109680C"/>
    <w:rsid w:val="11173FEA"/>
    <w:rsid w:val="112964DE"/>
    <w:rsid w:val="112C7E60"/>
    <w:rsid w:val="1142587A"/>
    <w:rsid w:val="117B2B3A"/>
    <w:rsid w:val="11A82EE2"/>
    <w:rsid w:val="11AE2F10"/>
    <w:rsid w:val="11B04EDA"/>
    <w:rsid w:val="11B3592C"/>
    <w:rsid w:val="11C204D6"/>
    <w:rsid w:val="11C40985"/>
    <w:rsid w:val="11F8418B"/>
    <w:rsid w:val="120363E1"/>
    <w:rsid w:val="12046FD4"/>
    <w:rsid w:val="121C256F"/>
    <w:rsid w:val="123025B2"/>
    <w:rsid w:val="123F1DBA"/>
    <w:rsid w:val="124473D0"/>
    <w:rsid w:val="125E4936"/>
    <w:rsid w:val="126637EB"/>
    <w:rsid w:val="12816876"/>
    <w:rsid w:val="129E4D32"/>
    <w:rsid w:val="12A762DD"/>
    <w:rsid w:val="12C50511"/>
    <w:rsid w:val="12DD2FC2"/>
    <w:rsid w:val="12EC1060"/>
    <w:rsid w:val="12F72695"/>
    <w:rsid w:val="12FB43A8"/>
    <w:rsid w:val="12FC5EFD"/>
    <w:rsid w:val="13191D25"/>
    <w:rsid w:val="13220D35"/>
    <w:rsid w:val="136C4E31"/>
    <w:rsid w:val="1379754E"/>
    <w:rsid w:val="13983E78"/>
    <w:rsid w:val="13A24CF6"/>
    <w:rsid w:val="13E05495"/>
    <w:rsid w:val="13EA12DA"/>
    <w:rsid w:val="13FD2633"/>
    <w:rsid w:val="142441F2"/>
    <w:rsid w:val="143E1BF4"/>
    <w:rsid w:val="1455356B"/>
    <w:rsid w:val="14665D24"/>
    <w:rsid w:val="147F7C89"/>
    <w:rsid w:val="148D505F"/>
    <w:rsid w:val="149E54BE"/>
    <w:rsid w:val="14A24A1F"/>
    <w:rsid w:val="14A345B4"/>
    <w:rsid w:val="14C667C2"/>
    <w:rsid w:val="14ED01F3"/>
    <w:rsid w:val="150B2427"/>
    <w:rsid w:val="15180F75"/>
    <w:rsid w:val="155344FA"/>
    <w:rsid w:val="155E69FB"/>
    <w:rsid w:val="156F29B6"/>
    <w:rsid w:val="1596722A"/>
    <w:rsid w:val="159D0129"/>
    <w:rsid w:val="15BA06B4"/>
    <w:rsid w:val="15BB209F"/>
    <w:rsid w:val="15D612E1"/>
    <w:rsid w:val="15EA52B2"/>
    <w:rsid w:val="15F5735F"/>
    <w:rsid w:val="16177C04"/>
    <w:rsid w:val="16213887"/>
    <w:rsid w:val="163028A6"/>
    <w:rsid w:val="16337E88"/>
    <w:rsid w:val="16790431"/>
    <w:rsid w:val="16A93880"/>
    <w:rsid w:val="16D57191"/>
    <w:rsid w:val="16D67838"/>
    <w:rsid w:val="16E6314C"/>
    <w:rsid w:val="16F75359"/>
    <w:rsid w:val="16FC296F"/>
    <w:rsid w:val="172724BB"/>
    <w:rsid w:val="174D4F79"/>
    <w:rsid w:val="1767428D"/>
    <w:rsid w:val="178A3AD7"/>
    <w:rsid w:val="178A7F7B"/>
    <w:rsid w:val="17BF1B9A"/>
    <w:rsid w:val="17C4348D"/>
    <w:rsid w:val="17FA6EAF"/>
    <w:rsid w:val="1827044F"/>
    <w:rsid w:val="18272ECC"/>
    <w:rsid w:val="18283845"/>
    <w:rsid w:val="183121A5"/>
    <w:rsid w:val="18396314"/>
    <w:rsid w:val="183E6121"/>
    <w:rsid w:val="184E71FB"/>
    <w:rsid w:val="18545863"/>
    <w:rsid w:val="18687616"/>
    <w:rsid w:val="186B3909"/>
    <w:rsid w:val="186E146A"/>
    <w:rsid w:val="18721A6F"/>
    <w:rsid w:val="187622AE"/>
    <w:rsid w:val="189434BE"/>
    <w:rsid w:val="18A40BC9"/>
    <w:rsid w:val="18B0756E"/>
    <w:rsid w:val="18D23988"/>
    <w:rsid w:val="18D6213F"/>
    <w:rsid w:val="18DA2562"/>
    <w:rsid w:val="18DB3095"/>
    <w:rsid w:val="18E80630"/>
    <w:rsid w:val="18F356AC"/>
    <w:rsid w:val="18F97B75"/>
    <w:rsid w:val="19107853"/>
    <w:rsid w:val="191C10A7"/>
    <w:rsid w:val="192C753C"/>
    <w:rsid w:val="195F5A49"/>
    <w:rsid w:val="197C1B46"/>
    <w:rsid w:val="1980638C"/>
    <w:rsid w:val="199D5F29"/>
    <w:rsid w:val="19D744CE"/>
    <w:rsid w:val="19D83220"/>
    <w:rsid w:val="19EC5264"/>
    <w:rsid w:val="1A295829"/>
    <w:rsid w:val="1A3133A4"/>
    <w:rsid w:val="1A491A28"/>
    <w:rsid w:val="1A5D1977"/>
    <w:rsid w:val="1A670100"/>
    <w:rsid w:val="1A8C18A1"/>
    <w:rsid w:val="1A8E7D82"/>
    <w:rsid w:val="1AB570BD"/>
    <w:rsid w:val="1AC31649"/>
    <w:rsid w:val="1ACB4B33"/>
    <w:rsid w:val="1AF5570C"/>
    <w:rsid w:val="1B0B3400"/>
    <w:rsid w:val="1B116D83"/>
    <w:rsid w:val="1B19589E"/>
    <w:rsid w:val="1B3426D8"/>
    <w:rsid w:val="1B574618"/>
    <w:rsid w:val="1B593314"/>
    <w:rsid w:val="1B5B127F"/>
    <w:rsid w:val="1B5E59A7"/>
    <w:rsid w:val="1B616581"/>
    <w:rsid w:val="1B8F5B60"/>
    <w:rsid w:val="1BAA0BEC"/>
    <w:rsid w:val="1BB27AA1"/>
    <w:rsid w:val="1BBA5A0D"/>
    <w:rsid w:val="1BF14125"/>
    <w:rsid w:val="1C0B55A7"/>
    <w:rsid w:val="1C132D59"/>
    <w:rsid w:val="1C2838B3"/>
    <w:rsid w:val="1C625023"/>
    <w:rsid w:val="1C7134B8"/>
    <w:rsid w:val="1C716FAF"/>
    <w:rsid w:val="1C817B9F"/>
    <w:rsid w:val="1C896A53"/>
    <w:rsid w:val="1C942349"/>
    <w:rsid w:val="1C955052"/>
    <w:rsid w:val="1CA76EDA"/>
    <w:rsid w:val="1CBD66FD"/>
    <w:rsid w:val="1CDA105D"/>
    <w:rsid w:val="1CE734AB"/>
    <w:rsid w:val="1D016B3E"/>
    <w:rsid w:val="1D412E8A"/>
    <w:rsid w:val="1D4E40F3"/>
    <w:rsid w:val="1D954F84"/>
    <w:rsid w:val="1DB63878"/>
    <w:rsid w:val="1DDE4B7D"/>
    <w:rsid w:val="1DE63A32"/>
    <w:rsid w:val="1DFD14A7"/>
    <w:rsid w:val="1E0068A1"/>
    <w:rsid w:val="1E1223B6"/>
    <w:rsid w:val="1E171E3D"/>
    <w:rsid w:val="1E22594E"/>
    <w:rsid w:val="1E245884"/>
    <w:rsid w:val="1E5E7A6C"/>
    <w:rsid w:val="1E673D11"/>
    <w:rsid w:val="1E9575F2"/>
    <w:rsid w:val="1E9B0CC0"/>
    <w:rsid w:val="1EA23DFC"/>
    <w:rsid w:val="1EA77665"/>
    <w:rsid w:val="1EB342A2"/>
    <w:rsid w:val="1EC43D73"/>
    <w:rsid w:val="1EDA1028"/>
    <w:rsid w:val="1EE96428"/>
    <w:rsid w:val="1F182311"/>
    <w:rsid w:val="1F2C30F5"/>
    <w:rsid w:val="1F3C7DAD"/>
    <w:rsid w:val="1F721A21"/>
    <w:rsid w:val="1F933745"/>
    <w:rsid w:val="1F9905BC"/>
    <w:rsid w:val="1FA871F0"/>
    <w:rsid w:val="1FBC1997"/>
    <w:rsid w:val="1FBE4C66"/>
    <w:rsid w:val="1FF438D6"/>
    <w:rsid w:val="1FF73CD4"/>
    <w:rsid w:val="202A5E57"/>
    <w:rsid w:val="202C7E22"/>
    <w:rsid w:val="20713A86"/>
    <w:rsid w:val="20A71F45"/>
    <w:rsid w:val="20AF2801"/>
    <w:rsid w:val="20B120D5"/>
    <w:rsid w:val="20B47E17"/>
    <w:rsid w:val="20E64474"/>
    <w:rsid w:val="20E93F65"/>
    <w:rsid w:val="21246D4B"/>
    <w:rsid w:val="214F68AA"/>
    <w:rsid w:val="215F1BB9"/>
    <w:rsid w:val="21676C37"/>
    <w:rsid w:val="217C26E3"/>
    <w:rsid w:val="21A34873"/>
    <w:rsid w:val="21FA7AAB"/>
    <w:rsid w:val="220F17A9"/>
    <w:rsid w:val="22442793"/>
    <w:rsid w:val="225673D8"/>
    <w:rsid w:val="22804455"/>
    <w:rsid w:val="22AC27F1"/>
    <w:rsid w:val="22BB548D"/>
    <w:rsid w:val="22CD23BA"/>
    <w:rsid w:val="22E5075C"/>
    <w:rsid w:val="22F664C5"/>
    <w:rsid w:val="22FF7A6F"/>
    <w:rsid w:val="2309269C"/>
    <w:rsid w:val="23515DF1"/>
    <w:rsid w:val="2359758E"/>
    <w:rsid w:val="23672F12"/>
    <w:rsid w:val="238166D6"/>
    <w:rsid w:val="23887A65"/>
    <w:rsid w:val="23B02B18"/>
    <w:rsid w:val="23B343B6"/>
    <w:rsid w:val="23CD2672"/>
    <w:rsid w:val="23CD6B49"/>
    <w:rsid w:val="240E09AF"/>
    <w:rsid w:val="24134E54"/>
    <w:rsid w:val="2418246B"/>
    <w:rsid w:val="24286B52"/>
    <w:rsid w:val="243C43AB"/>
    <w:rsid w:val="24431BDE"/>
    <w:rsid w:val="244D164C"/>
    <w:rsid w:val="245411E8"/>
    <w:rsid w:val="24853FA4"/>
    <w:rsid w:val="24911526"/>
    <w:rsid w:val="24A3267C"/>
    <w:rsid w:val="24A361D8"/>
    <w:rsid w:val="24A65CC9"/>
    <w:rsid w:val="24CF6FCD"/>
    <w:rsid w:val="250273A3"/>
    <w:rsid w:val="2524556B"/>
    <w:rsid w:val="252E0198"/>
    <w:rsid w:val="253F05F7"/>
    <w:rsid w:val="25494FD2"/>
    <w:rsid w:val="25513E86"/>
    <w:rsid w:val="25551BC9"/>
    <w:rsid w:val="255E0351"/>
    <w:rsid w:val="2577371A"/>
    <w:rsid w:val="25901034"/>
    <w:rsid w:val="25BC27DD"/>
    <w:rsid w:val="25C26B32"/>
    <w:rsid w:val="25E44CFA"/>
    <w:rsid w:val="25EB0C9E"/>
    <w:rsid w:val="25EC7984"/>
    <w:rsid w:val="260E7FC9"/>
    <w:rsid w:val="26212D15"/>
    <w:rsid w:val="262D78EB"/>
    <w:rsid w:val="26301CEE"/>
    <w:rsid w:val="26347A30"/>
    <w:rsid w:val="26462E73"/>
    <w:rsid w:val="265B240F"/>
    <w:rsid w:val="2668592C"/>
    <w:rsid w:val="266E3AF6"/>
    <w:rsid w:val="26937BFF"/>
    <w:rsid w:val="26B428AF"/>
    <w:rsid w:val="26B808EC"/>
    <w:rsid w:val="26C45BF8"/>
    <w:rsid w:val="26D1527F"/>
    <w:rsid w:val="26F1147D"/>
    <w:rsid w:val="270C62B7"/>
    <w:rsid w:val="273B3040"/>
    <w:rsid w:val="273D0B66"/>
    <w:rsid w:val="273D46C2"/>
    <w:rsid w:val="276E51C4"/>
    <w:rsid w:val="279D4F06"/>
    <w:rsid w:val="279E37A9"/>
    <w:rsid w:val="27C22E19"/>
    <w:rsid w:val="27C43035"/>
    <w:rsid w:val="280653FC"/>
    <w:rsid w:val="28506F1C"/>
    <w:rsid w:val="288B3B53"/>
    <w:rsid w:val="28BA7F95"/>
    <w:rsid w:val="28C36E49"/>
    <w:rsid w:val="28CD1A76"/>
    <w:rsid w:val="28D92B11"/>
    <w:rsid w:val="28DC43AF"/>
    <w:rsid w:val="28E079FB"/>
    <w:rsid w:val="28FB471E"/>
    <w:rsid w:val="291E0523"/>
    <w:rsid w:val="29205FB2"/>
    <w:rsid w:val="29244CA4"/>
    <w:rsid w:val="293715E5"/>
    <w:rsid w:val="295201CD"/>
    <w:rsid w:val="2967011C"/>
    <w:rsid w:val="29780755"/>
    <w:rsid w:val="29BA611A"/>
    <w:rsid w:val="29CC7F7F"/>
    <w:rsid w:val="29CE5AA6"/>
    <w:rsid w:val="29F85218"/>
    <w:rsid w:val="2A391AB9"/>
    <w:rsid w:val="2A677CA8"/>
    <w:rsid w:val="2A693A20"/>
    <w:rsid w:val="2A6D3486"/>
    <w:rsid w:val="2A895E70"/>
    <w:rsid w:val="2A950CB9"/>
    <w:rsid w:val="2A9C3DF6"/>
    <w:rsid w:val="2AA02D5A"/>
    <w:rsid w:val="2AA131BA"/>
    <w:rsid w:val="2AC86999"/>
    <w:rsid w:val="2AC9060F"/>
    <w:rsid w:val="2AF123AC"/>
    <w:rsid w:val="2AFE685E"/>
    <w:rsid w:val="2B037DF0"/>
    <w:rsid w:val="2B3202B6"/>
    <w:rsid w:val="2B3C6864"/>
    <w:rsid w:val="2B4D50F0"/>
    <w:rsid w:val="2B681F2A"/>
    <w:rsid w:val="2B8F5708"/>
    <w:rsid w:val="2B901A6E"/>
    <w:rsid w:val="2B9652EF"/>
    <w:rsid w:val="2BA56CDA"/>
    <w:rsid w:val="2BC27DAE"/>
    <w:rsid w:val="2BC34BEA"/>
    <w:rsid w:val="2BD91045"/>
    <w:rsid w:val="2BF832AE"/>
    <w:rsid w:val="2BF8505C"/>
    <w:rsid w:val="2C107CA6"/>
    <w:rsid w:val="2C113F6C"/>
    <w:rsid w:val="2C183950"/>
    <w:rsid w:val="2C1A3C52"/>
    <w:rsid w:val="2C474400"/>
    <w:rsid w:val="2C7768C8"/>
    <w:rsid w:val="2C815B2B"/>
    <w:rsid w:val="2C946C64"/>
    <w:rsid w:val="2CB6311C"/>
    <w:rsid w:val="2CC80F32"/>
    <w:rsid w:val="2CDD14B1"/>
    <w:rsid w:val="2CF241A1"/>
    <w:rsid w:val="2D110C2A"/>
    <w:rsid w:val="2D3A16A4"/>
    <w:rsid w:val="2D7458C3"/>
    <w:rsid w:val="2D870D8D"/>
    <w:rsid w:val="2D940DB4"/>
    <w:rsid w:val="2D9B0395"/>
    <w:rsid w:val="2DC25921"/>
    <w:rsid w:val="2E0E4F95"/>
    <w:rsid w:val="2E3248B6"/>
    <w:rsid w:val="2E552C39"/>
    <w:rsid w:val="2E5A7BB6"/>
    <w:rsid w:val="2E60513A"/>
    <w:rsid w:val="2E6B420B"/>
    <w:rsid w:val="2E6E7857"/>
    <w:rsid w:val="2E76495E"/>
    <w:rsid w:val="2E8C65BF"/>
    <w:rsid w:val="2E903C71"/>
    <w:rsid w:val="2E9077CD"/>
    <w:rsid w:val="2E9F2106"/>
    <w:rsid w:val="2E9F5C62"/>
    <w:rsid w:val="2EA119DB"/>
    <w:rsid w:val="2ECE6548"/>
    <w:rsid w:val="2ED022C0"/>
    <w:rsid w:val="2EDF5746"/>
    <w:rsid w:val="2F0E0128"/>
    <w:rsid w:val="2F146650"/>
    <w:rsid w:val="2F337E9A"/>
    <w:rsid w:val="2F3406AE"/>
    <w:rsid w:val="2F363C4A"/>
    <w:rsid w:val="2F5925DB"/>
    <w:rsid w:val="2F5C1DA5"/>
    <w:rsid w:val="2F6D4687"/>
    <w:rsid w:val="2F70551E"/>
    <w:rsid w:val="2F854E58"/>
    <w:rsid w:val="2F8E3583"/>
    <w:rsid w:val="2FE8003B"/>
    <w:rsid w:val="2FEC5296"/>
    <w:rsid w:val="2FF95846"/>
    <w:rsid w:val="300309D9"/>
    <w:rsid w:val="301461DC"/>
    <w:rsid w:val="3027683B"/>
    <w:rsid w:val="30562C99"/>
    <w:rsid w:val="306C6018"/>
    <w:rsid w:val="306E1D90"/>
    <w:rsid w:val="307F388A"/>
    <w:rsid w:val="308725A7"/>
    <w:rsid w:val="308E5F8F"/>
    <w:rsid w:val="30901D07"/>
    <w:rsid w:val="30AF7622"/>
    <w:rsid w:val="30BF439A"/>
    <w:rsid w:val="30C45E54"/>
    <w:rsid w:val="30CE282F"/>
    <w:rsid w:val="30E06372"/>
    <w:rsid w:val="31061FC9"/>
    <w:rsid w:val="3138467B"/>
    <w:rsid w:val="314174A5"/>
    <w:rsid w:val="315A3E8F"/>
    <w:rsid w:val="318008AB"/>
    <w:rsid w:val="31807FCD"/>
    <w:rsid w:val="318D26EA"/>
    <w:rsid w:val="31B859B9"/>
    <w:rsid w:val="31C3435E"/>
    <w:rsid w:val="31C972B1"/>
    <w:rsid w:val="31DA30CD"/>
    <w:rsid w:val="31E367AE"/>
    <w:rsid w:val="31F12C79"/>
    <w:rsid w:val="31F45794"/>
    <w:rsid w:val="31FB0A2A"/>
    <w:rsid w:val="320F75A3"/>
    <w:rsid w:val="32313FA5"/>
    <w:rsid w:val="324A05DB"/>
    <w:rsid w:val="324F33A7"/>
    <w:rsid w:val="326571C3"/>
    <w:rsid w:val="326C67A3"/>
    <w:rsid w:val="328305A1"/>
    <w:rsid w:val="32A61CB5"/>
    <w:rsid w:val="32AF17E8"/>
    <w:rsid w:val="32E0684A"/>
    <w:rsid w:val="33042538"/>
    <w:rsid w:val="3320739A"/>
    <w:rsid w:val="3341553A"/>
    <w:rsid w:val="335D6149"/>
    <w:rsid w:val="33631954"/>
    <w:rsid w:val="339935C8"/>
    <w:rsid w:val="33A45AC9"/>
    <w:rsid w:val="33D313E6"/>
    <w:rsid w:val="33D60378"/>
    <w:rsid w:val="33E04018"/>
    <w:rsid w:val="33E412BD"/>
    <w:rsid w:val="343F0CBE"/>
    <w:rsid w:val="34431A58"/>
    <w:rsid w:val="344C3636"/>
    <w:rsid w:val="34533777"/>
    <w:rsid w:val="346A408E"/>
    <w:rsid w:val="34733E19"/>
    <w:rsid w:val="34943D90"/>
    <w:rsid w:val="34A054FF"/>
    <w:rsid w:val="34A51AF9"/>
    <w:rsid w:val="34B14942"/>
    <w:rsid w:val="34D413D2"/>
    <w:rsid w:val="34DC5A53"/>
    <w:rsid w:val="34EB759E"/>
    <w:rsid w:val="34F87471"/>
    <w:rsid w:val="35064C8D"/>
    <w:rsid w:val="3507779A"/>
    <w:rsid w:val="352B64A2"/>
    <w:rsid w:val="353A66E5"/>
    <w:rsid w:val="35586B6B"/>
    <w:rsid w:val="355B4070"/>
    <w:rsid w:val="356E1147"/>
    <w:rsid w:val="357348BC"/>
    <w:rsid w:val="3575771D"/>
    <w:rsid w:val="357E0CC8"/>
    <w:rsid w:val="35843E04"/>
    <w:rsid w:val="358D7245"/>
    <w:rsid w:val="35942299"/>
    <w:rsid w:val="35DA3A24"/>
    <w:rsid w:val="35F25212"/>
    <w:rsid w:val="36050AA1"/>
    <w:rsid w:val="36126927"/>
    <w:rsid w:val="361303CA"/>
    <w:rsid w:val="36162CAE"/>
    <w:rsid w:val="362353CB"/>
    <w:rsid w:val="36251143"/>
    <w:rsid w:val="3680281D"/>
    <w:rsid w:val="36902F82"/>
    <w:rsid w:val="369279AB"/>
    <w:rsid w:val="36C546D4"/>
    <w:rsid w:val="36C76050"/>
    <w:rsid w:val="36CB4F71"/>
    <w:rsid w:val="36D13079"/>
    <w:rsid w:val="36E032BC"/>
    <w:rsid w:val="36EA7C97"/>
    <w:rsid w:val="37024FE0"/>
    <w:rsid w:val="372C02AF"/>
    <w:rsid w:val="37496F7A"/>
    <w:rsid w:val="376E6B1A"/>
    <w:rsid w:val="377A101B"/>
    <w:rsid w:val="377C2FB4"/>
    <w:rsid w:val="378325C5"/>
    <w:rsid w:val="378B147A"/>
    <w:rsid w:val="378B3228"/>
    <w:rsid w:val="379E5C6A"/>
    <w:rsid w:val="37A52B4A"/>
    <w:rsid w:val="37B07132"/>
    <w:rsid w:val="37BF1D6A"/>
    <w:rsid w:val="37FB6841"/>
    <w:rsid w:val="38023046"/>
    <w:rsid w:val="382D42DF"/>
    <w:rsid w:val="384A4E91"/>
    <w:rsid w:val="385E2D5D"/>
    <w:rsid w:val="38635F53"/>
    <w:rsid w:val="386D0811"/>
    <w:rsid w:val="38855EC9"/>
    <w:rsid w:val="388569B6"/>
    <w:rsid w:val="38896D41"/>
    <w:rsid w:val="38975BFC"/>
    <w:rsid w:val="389F215E"/>
    <w:rsid w:val="38A8605B"/>
    <w:rsid w:val="38B90269"/>
    <w:rsid w:val="38BB6ED1"/>
    <w:rsid w:val="38C054A4"/>
    <w:rsid w:val="38C1253E"/>
    <w:rsid w:val="38CE6AAE"/>
    <w:rsid w:val="38D40BFF"/>
    <w:rsid w:val="39202096"/>
    <w:rsid w:val="39316051"/>
    <w:rsid w:val="393B6C28"/>
    <w:rsid w:val="39736669"/>
    <w:rsid w:val="3973697B"/>
    <w:rsid w:val="39754190"/>
    <w:rsid w:val="398758A9"/>
    <w:rsid w:val="39987A8C"/>
    <w:rsid w:val="39A53B63"/>
    <w:rsid w:val="39C96289"/>
    <w:rsid w:val="39E44E71"/>
    <w:rsid w:val="3A0D43C8"/>
    <w:rsid w:val="3A300F31"/>
    <w:rsid w:val="3A4B2FEE"/>
    <w:rsid w:val="3A502507"/>
    <w:rsid w:val="3A695377"/>
    <w:rsid w:val="3A8A02A9"/>
    <w:rsid w:val="3A8C1013"/>
    <w:rsid w:val="3AB74339"/>
    <w:rsid w:val="3AC70A1B"/>
    <w:rsid w:val="3ACF2ECE"/>
    <w:rsid w:val="3AF7062E"/>
    <w:rsid w:val="3AFB2473"/>
    <w:rsid w:val="3AFB6916"/>
    <w:rsid w:val="3B0E4DFC"/>
    <w:rsid w:val="3B170166"/>
    <w:rsid w:val="3B31058A"/>
    <w:rsid w:val="3B5F50F7"/>
    <w:rsid w:val="3B7753B5"/>
    <w:rsid w:val="3B8052D9"/>
    <w:rsid w:val="3B912DD7"/>
    <w:rsid w:val="3BE949C1"/>
    <w:rsid w:val="3BEA6DA0"/>
    <w:rsid w:val="3BEB4CED"/>
    <w:rsid w:val="3BF10EB2"/>
    <w:rsid w:val="3C102591"/>
    <w:rsid w:val="3C6329C5"/>
    <w:rsid w:val="3CDC165C"/>
    <w:rsid w:val="3D1B504E"/>
    <w:rsid w:val="3D536596"/>
    <w:rsid w:val="3D567E34"/>
    <w:rsid w:val="3D6267D9"/>
    <w:rsid w:val="3D6E33D0"/>
    <w:rsid w:val="3D7309E6"/>
    <w:rsid w:val="3D734E8A"/>
    <w:rsid w:val="3DA37BAD"/>
    <w:rsid w:val="3DBC4982"/>
    <w:rsid w:val="3DCA4932"/>
    <w:rsid w:val="3DE458BC"/>
    <w:rsid w:val="3DE91C37"/>
    <w:rsid w:val="3DED24FF"/>
    <w:rsid w:val="3E104487"/>
    <w:rsid w:val="3E22253C"/>
    <w:rsid w:val="3E2809F9"/>
    <w:rsid w:val="3E4F5F4D"/>
    <w:rsid w:val="3E532AD4"/>
    <w:rsid w:val="3E614CE2"/>
    <w:rsid w:val="3E646581"/>
    <w:rsid w:val="3E6B1215"/>
    <w:rsid w:val="3E772758"/>
    <w:rsid w:val="3E9E1A93"/>
    <w:rsid w:val="3EA9143B"/>
    <w:rsid w:val="3ECF4342"/>
    <w:rsid w:val="3ED43706"/>
    <w:rsid w:val="3ED454B4"/>
    <w:rsid w:val="3EE85404"/>
    <w:rsid w:val="3EF43DA9"/>
    <w:rsid w:val="3F141D55"/>
    <w:rsid w:val="3F1735F3"/>
    <w:rsid w:val="3F301AC1"/>
    <w:rsid w:val="3F424B14"/>
    <w:rsid w:val="3F450160"/>
    <w:rsid w:val="3F536D21"/>
    <w:rsid w:val="3F542A99"/>
    <w:rsid w:val="3F8A2017"/>
    <w:rsid w:val="3F9D4347"/>
    <w:rsid w:val="3FD60EEE"/>
    <w:rsid w:val="3FD7149C"/>
    <w:rsid w:val="4013200C"/>
    <w:rsid w:val="40154CEE"/>
    <w:rsid w:val="4033445D"/>
    <w:rsid w:val="40384169"/>
    <w:rsid w:val="405014B2"/>
    <w:rsid w:val="40542910"/>
    <w:rsid w:val="405F34A4"/>
    <w:rsid w:val="40B03CFF"/>
    <w:rsid w:val="40B97058"/>
    <w:rsid w:val="40F849E4"/>
    <w:rsid w:val="412070D7"/>
    <w:rsid w:val="41230975"/>
    <w:rsid w:val="412A3F30"/>
    <w:rsid w:val="41436921"/>
    <w:rsid w:val="415723CD"/>
    <w:rsid w:val="416A2100"/>
    <w:rsid w:val="41764F49"/>
    <w:rsid w:val="417C1BE8"/>
    <w:rsid w:val="41A2426E"/>
    <w:rsid w:val="41B96BE3"/>
    <w:rsid w:val="41BD4926"/>
    <w:rsid w:val="41D41C6F"/>
    <w:rsid w:val="41F45E6E"/>
    <w:rsid w:val="4230334A"/>
    <w:rsid w:val="425C61C6"/>
    <w:rsid w:val="426A062E"/>
    <w:rsid w:val="42A96C58"/>
    <w:rsid w:val="42CB6BCE"/>
    <w:rsid w:val="43217136"/>
    <w:rsid w:val="433F136A"/>
    <w:rsid w:val="4340580E"/>
    <w:rsid w:val="43565DA6"/>
    <w:rsid w:val="43986180"/>
    <w:rsid w:val="43CE6126"/>
    <w:rsid w:val="43D9531B"/>
    <w:rsid w:val="43FE4D82"/>
    <w:rsid w:val="440307AF"/>
    <w:rsid w:val="444022B3"/>
    <w:rsid w:val="444B24DB"/>
    <w:rsid w:val="44606B64"/>
    <w:rsid w:val="44865A92"/>
    <w:rsid w:val="44906321"/>
    <w:rsid w:val="4499136D"/>
    <w:rsid w:val="44E93C84"/>
    <w:rsid w:val="451A3C12"/>
    <w:rsid w:val="455E3D2A"/>
    <w:rsid w:val="457572C5"/>
    <w:rsid w:val="458614D2"/>
    <w:rsid w:val="45CF284F"/>
    <w:rsid w:val="45F262DF"/>
    <w:rsid w:val="46020B59"/>
    <w:rsid w:val="46050649"/>
    <w:rsid w:val="460E39A2"/>
    <w:rsid w:val="46496788"/>
    <w:rsid w:val="46606DE3"/>
    <w:rsid w:val="466643F5"/>
    <w:rsid w:val="46756649"/>
    <w:rsid w:val="4698326B"/>
    <w:rsid w:val="46B207D1"/>
    <w:rsid w:val="46BC6448"/>
    <w:rsid w:val="46DA7D28"/>
    <w:rsid w:val="46E6047B"/>
    <w:rsid w:val="46FE5F68"/>
    <w:rsid w:val="47022DDB"/>
    <w:rsid w:val="47033E8D"/>
    <w:rsid w:val="47071ABF"/>
    <w:rsid w:val="47071EE3"/>
    <w:rsid w:val="473518A9"/>
    <w:rsid w:val="47351DC6"/>
    <w:rsid w:val="475573AE"/>
    <w:rsid w:val="47665118"/>
    <w:rsid w:val="476937DB"/>
    <w:rsid w:val="47727F60"/>
    <w:rsid w:val="47820E26"/>
    <w:rsid w:val="4783216D"/>
    <w:rsid w:val="47962DFA"/>
    <w:rsid w:val="47A619B8"/>
    <w:rsid w:val="47B440D5"/>
    <w:rsid w:val="47D209FF"/>
    <w:rsid w:val="47E36768"/>
    <w:rsid w:val="47EE470A"/>
    <w:rsid w:val="47F72214"/>
    <w:rsid w:val="480C0F07"/>
    <w:rsid w:val="481E59F2"/>
    <w:rsid w:val="48362D3C"/>
    <w:rsid w:val="48391D37"/>
    <w:rsid w:val="484B4866"/>
    <w:rsid w:val="48541414"/>
    <w:rsid w:val="48650722"/>
    <w:rsid w:val="48802209"/>
    <w:rsid w:val="488C32A4"/>
    <w:rsid w:val="48E924A4"/>
    <w:rsid w:val="48EF1237"/>
    <w:rsid w:val="48F22F6E"/>
    <w:rsid w:val="491603F6"/>
    <w:rsid w:val="49180694"/>
    <w:rsid w:val="49382AE4"/>
    <w:rsid w:val="49496A9F"/>
    <w:rsid w:val="494C7416"/>
    <w:rsid w:val="49535B70"/>
    <w:rsid w:val="49583186"/>
    <w:rsid w:val="497A75A0"/>
    <w:rsid w:val="49974028"/>
    <w:rsid w:val="499F2B63"/>
    <w:rsid w:val="49A004CE"/>
    <w:rsid w:val="49A32653"/>
    <w:rsid w:val="49D722FD"/>
    <w:rsid w:val="49E35378"/>
    <w:rsid w:val="49F509D5"/>
    <w:rsid w:val="4A001853"/>
    <w:rsid w:val="4A0A4480"/>
    <w:rsid w:val="4A0D3F70"/>
    <w:rsid w:val="4A181B38"/>
    <w:rsid w:val="4A195E13"/>
    <w:rsid w:val="4A1E5D46"/>
    <w:rsid w:val="4A3546F0"/>
    <w:rsid w:val="4A49144C"/>
    <w:rsid w:val="4A530227"/>
    <w:rsid w:val="4A58343D"/>
    <w:rsid w:val="4A5971B6"/>
    <w:rsid w:val="4A655B5A"/>
    <w:rsid w:val="4A6718D3"/>
    <w:rsid w:val="4A7F7884"/>
    <w:rsid w:val="4A965D14"/>
    <w:rsid w:val="4A981A8C"/>
    <w:rsid w:val="4AA22D7F"/>
    <w:rsid w:val="4AA33FE0"/>
    <w:rsid w:val="4AB60164"/>
    <w:rsid w:val="4AC46D25"/>
    <w:rsid w:val="4ACE3700"/>
    <w:rsid w:val="4AD52CE0"/>
    <w:rsid w:val="4ADB406F"/>
    <w:rsid w:val="4AF173EE"/>
    <w:rsid w:val="4AF84C20"/>
    <w:rsid w:val="4AFC64B6"/>
    <w:rsid w:val="4B0B6702"/>
    <w:rsid w:val="4B0D20E7"/>
    <w:rsid w:val="4B2C6678"/>
    <w:rsid w:val="4B337A07"/>
    <w:rsid w:val="4B375749"/>
    <w:rsid w:val="4B46598C"/>
    <w:rsid w:val="4B553E26"/>
    <w:rsid w:val="4B9762C0"/>
    <w:rsid w:val="4B9C37FE"/>
    <w:rsid w:val="4BBA0128"/>
    <w:rsid w:val="4BDA7F6C"/>
    <w:rsid w:val="4C101AF6"/>
    <w:rsid w:val="4C1559E9"/>
    <w:rsid w:val="4C2D252F"/>
    <w:rsid w:val="4C303908"/>
    <w:rsid w:val="4C3103EA"/>
    <w:rsid w:val="4C644831"/>
    <w:rsid w:val="4C812ED4"/>
    <w:rsid w:val="4C9D5A7F"/>
    <w:rsid w:val="4CA50490"/>
    <w:rsid w:val="4CAC2535"/>
    <w:rsid w:val="4CC50B32"/>
    <w:rsid w:val="4CC554C2"/>
    <w:rsid w:val="4CED7717"/>
    <w:rsid w:val="4CEE0089"/>
    <w:rsid w:val="4CF379D6"/>
    <w:rsid w:val="4CF51AE2"/>
    <w:rsid w:val="4CF66F3E"/>
    <w:rsid w:val="4D1A2C2C"/>
    <w:rsid w:val="4D2C6E03"/>
    <w:rsid w:val="4D4A296D"/>
    <w:rsid w:val="4D7308E3"/>
    <w:rsid w:val="4D873D88"/>
    <w:rsid w:val="4DBF1A26"/>
    <w:rsid w:val="4DC00FA9"/>
    <w:rsid w:val="4DD03C33"/>
    <w:rsid w:val="4DDC25D7"/>
    <w:rsid w:val="4DEB6377"/>
    <w:rsid w:val="4DF818A2"/>
    <w:rsid w:val="4E052BE9"/>
    <w:rsid w:val="4E107456"/>
    <w:rsid w:val="4E157897"/>
    <w:rsid w:val="4E2F73B3"/>
    <w:rsid w:val="4E30669A"/>
    <w:rsid w:val="4E552C2B"/>
    <w:rsid w:val="4E697FB9"/>
    <w:rsid w:val="4E6C0A3E"/>
    <w:rsid w:val="4E7E71EB"/>
    <w:rsid w:val="4E8C7B5A"/>
    <w:rsid w:val="4E9702AC"/>
    <w:rsid w:val="4E9D2DD0"/>
    <w:rsid w:val="4EAD157E"/>
    <w:rsid w:val="4EC15329"/>
    <w:rsid w:val="4ECD3D05"/>
    <w:rsid w:val="4ED24A28"/>
    <w:rsid w:val="4EE51018"/>
    <w:rsid w:val="4F24778D"/>
    <w:rsid w:val="4F3501F1"/>
    <w:rsid w:val="4F5543EF"/>
    <w:rsid w:val="4F602D94"/>
    <w:rsid w:val="4FAB08DA"/>
    <w:rsid w:val="4FCB3ED2"/>
    <w:rsid w:val="4FD214B6"/>
    <w:rsid w:val="4FD30AB0"/>
    <w:rsid w:val="4FE439C5"/>
    <w:rsid w:val="4FE47521"/>
    <w:rsid w:val="4FED6DF9"/>
    <w:rsid w:val="500C3517"/>
    <w:rsid w:val="501047BA"/>
    <w:rsid w:val="50546455"/>
    <w:rsid w:val="50566671"/>
    <w:rsid w:val="5087780F"/>
    <w:rsid w:val="50920F34"/>
    <w:rsid w:val="50A3118B"/>
    <w:rsid w:val="50A71CE4"/>
    <w:rsid w:val="50BC115C"/>
    <w:rsid w:val="50C53BB8"/>
    <w:rsid w:val="50C80BF1"/>
    <w:rsid w:val="50DF3C85"/>
    <w:rsid w:val="50EA1314"/>
    <w:rsid w:val="50F11EF6"/>
    <w:rsid w:val="50F43794"/>
    <w:rsid w:val="510A26E1"/>
    <w:rsid w:val="510D30B3"/>
    <w:rsid w:val="51167BAE"/>
    <w:rsid w:val="512A18AC"/>
    <w:rsid w:val="512C2F2E"/>
    <w:rsid w:val="516528E4"/>
    <w:rsid w:val="516E1224"/>
    <w:rsid w:val="51823496"/>
    <w:rsid w:val="51890380"/>
    <w:rsid w:val="51A83503"/>
    <w:rsid w:val="51D830B6"/>
    <w:rsid w:val="51F7178E"/>
    <w:rsid w:val="52100AA2"/>
    <w:rsid w:val="522400A9"/>
    <w:rsid w:val="528D20F2"/>
    <w:rsid w:val="52B633F7"/>
    <w:rsid w:val="52C60D4D"/>
    <w:rsid w:val="52E361B6"/>
    <w:rsid w:val="52E951AC"/>
    <w:rsid w:val="52ED45B9"/>
    <w:rsid w:val="52F67C97"/>
    <w:rsid w:val="53002949"/>
    <w:rsid w:val="532C36B9"/>
    <w:rsid w:val="53370B35"/>
    <w:rsid w:val="533802B0"/>
    <w:rsid w:val="53394028"/>
    <w:rsid w:val="534704F3"/>
    <w:rsid w:val="534F1156"/>
    <w:rsid w:val="535F59E1"/>
    <w:rsid w:val="536524C3"/>
    <w:rsid w:val="538232D9"/>
    <w:rsid w:val="538452A3"/>
    <w:rsid w:val="539649C0"/>
    <w:rsid w:val="53D0274A"/>
    <w:rsid w:val="53D1600F"/>
    <w:rsid w:val="53FD0BB2"/>
    <w:rsid w:val="541B7AD1"/>
    <w:rsid w:val="541D452A"/>
    <w:rsid w:val="54212AF2"/>
    <w:rsid w:val="543516CD"/>
    <w:rsid w:val="546D5A14"/>
    <w:rsid w:val="54837309"/>
    <w:rsid w:val="548412D3"/>
    <w:rsid w:val="549459BA"/>
    <w:rsid w:val="549B6A88"/>
    <w:rsid w:val="549C486F"/>
    <w:rsid w:val="54A8045F"/>
    <w:rsid w:val="54AF6350"/>
    <w:rsid w:val="54D45DB6"/>
    <w:rsid w:val="54D73E95"/>
    <w:rsid w:val="55425416"/>
    <w:rsid w:val="554A0159"/>
    <w:rsid w:val="555F54CC"/>
    <w:rsid w:val="55675113"/>
    <w:rsid w:val="558B763C"/>
    <w:rsid w:val="559D0D16"/>
    <w:rsid w:val="55AE1142"/>
    <w:rsid w:val="55C23E61"/>
    <w:rsid w:val="55C7591B"/>
    <w:rsid w:val="55CA572B"/>
    <w:rsid w:val="55EB123E"/>
    <w:rsid w:val="55EF09CE"/>
    <w:rsid w:val="55F10BEA"/>
    <w:rsid w:val="56002BDB"/>
    <w:rsid w:val="56292132"/>
    <w:rsid w:val="56311CDA"/>
    <w:rsid w:val="56582A17"/>
    <w:rsid w:val="566B5617"/>
    <w:rsid w:val="56717635"/>
    <w:rsid w:val="5697353F"/>
    <w:rsid w:val="56986659"/>
    <w:rsid w:val="569A3030"/>
    <w:rsid w:val="569E667C"/>
    <w:rsid w:val="56AE5BF6"/>
    <w:rsid w:val="56AE6864"/>
    <w:rsid w:val="56B440F1"/>
    <w:rsid w:val="56E12A0D"/>
    <w:rsid w:val="56E30533"/>
    <w:rsid w:val="56F031A2"/>
    <w:rsid w:val="56F16EF2"/>
    <w:rsid w:val="571E5A0F"/>
    <w:rsid w:val="5737029F"/>
    <w:rsid w:val="574014E1"/>
    <w:rsid w:val="574D3E70"/>
    <w:rsid w:val="57530C37"/>
    <w:rsid w:val="576A1A21"/>
    <w:rsid w:val="577B71D8"/>
    <w:rsid w:val="57A8352A"/>
    <w:rsid w:val="57B123DF"/>
    <w:rsid w:val="57CC7219"/>
    <w:rsid w:val="580F7106"/>
    <w:rsid w:val="581F476D"/>
    <w:rsid w:val="583D0117"/>
    <w:rsid w:val="58534C20"/>
    <w:rsid w:val="58535244"/>
    <w:rsid w:val="585C735C"/>
    <w:rsid w:val="585D2567"/>
    <w:rsid w:val="58DE5456"/>
    <w:rsid w:val="58DF4D2A"/>
    <w:rsid w:val="591A3FB4"/>
    <w:rsid w:val="5923730C"/>
    <w:rsid w:val="592A069B"/>
    <w:rsid w:val="592A50D7"/>
    <w:rsid w:val="592B4413"/>
    <w:rsid w:val="594F1EAF"/>
    <w:rsid w:val="59543849"/>
    <w:rsid w:val="595D66E3"/>
    <w:rsid w:val="595E6596"/>
    <w:rsid w:val="59722042"/>
    <w:rsid w:val="5980475F"/>
    <w:rsid w:val="59A0509B"/>
    <w:rsid w:val="59BB7545"/>
    <w:rsid w:val="59BE5287"/>
    <w:rsid w:val="59C208D3"/>
    <w:rsid w:val="59C535A6"/>
    <w:rsid w:val="59F45A45"/>
    <w:rsid w:val="59F62363"/>
    <w:rsid w:val="5A077952"/>
    <w:rsid w:val="5A124512"/>
    <w:rsid w:val="5A2275C4"/>
    <w:rsid w:val="5A326ED8"/>
    <w:rsid w:val="5A364E1D"/>
    <w:rsid w:val="5A492DA3"/>
    <w:rsid w:val="5A6C1957"/>
    <w:rsid w:val="5A722590"/>
    <w:rsid w:val="5A776C53"/>
    <w:rsid w:val="5A7D0C9E"/>
    <w:rsid w:val="5AAC50E0"/>
    <w:rsid w:val="5B0B1E06"/>
    <w:rsid w:val="5B4D68C3"/>
    <w:rsid w:val="5B5A2D8E"/>
    <w:rsid w:val="5BA03A20"/>
    <w:rsid w:val="5BAA7871"/>
    <w:rsid w:val="5BAD110F"/>
    <w:rsid w:val="5BB26726"/>
    <w:rsid w:val="5BB977D3"/>
    <w:rsid w:val="5BC8419B"/>
    <w:rsid w:val="5BD26DC8"/>
    <w:rsid w:val="5BD35D0A"/>
    <w:rsid w:val="5BD977D5"/>
    <w:rsid w:val="5BF81968"/>
    <w:rsid w:val="5BFD60C0"/>
    <w:rsid w:val="5C0A47B4"/>
    <w:rsid w:val="5C174686"/>
    <w:rsid w:val="5C1A3007"/>
    <w:rsid w:val="5C337973"/>
    <w:rsid w:val="5C34538D"/>
    <w:rsid w:val="5C390BF5"/>
    <w:rsid w:val="5C606182"/>
    <w:rsid w:val="5C930305"/>
    <w:rsid w:val="5C9C18B0"/>
    <w:rsid w:val="5CA1392E"/>
    <w:rsid w:val="5CC0249F"/>
    <w:rsid w:val="5CC84A9A"/>
    <w:rsid w:val="5CCB46B2"/>
    <w:rsid w:val="5CFE60C6"/>
    <w:rsid w:val="5D617135"/>
    <w:rsid w:val="5D79399F"/>
    <w:rsid w:val="5D9500AD"/>
    <w:rsid w:val="5D9635FF"/>
    <w:rsid w:val="5D996B17"/>
    <w:rsid w:val="5DA80011"/>
    <w:rsid w:val="5DFF100E"/>
    <w:rsid w:val="5E114B41"/>
    <w:rsid w:val="5E192A8C"/>
    <w:rsid w:val="5E1B78BB"/>
    <w:rsid w:val="5E2C27BF"/>
    <w:rsid w:val="5E4775F9"/>
    <w:rsid w:val="5E666F0A"/>
    <w:rsid w:val="5E92366A"/>
    <w:rsid w:val="5EAC56AE"/>
    <w:rsid w:val="5EB07418"/>
    <w:rsid w:val="5EB56C59"/>
    <w:rsid w:val="5EBA601D"/>
    <w:rsid w:val="5ED44178"/>
    <w:rsid w:val="5EF432E1"/>
    <w:rsid w:val="5F0C2AA2"/>
    <w:rsid w:val="5F155949"/>
    <w:rsid w:val="5F3062DF"/>
    <w:rsid w:val="5F3A38C6"/>
    <w:rsid w:val="5F3C4C84"/>
    <w:rsid w:val="5F595F3B"/>
    <w:rsid w:val="5F5E1B86"/>
    <w:rsid w:val="5F685A79"/>
    <w:rsid w:val="5F7A755A"/>
    <w:rsid w:val="5F7E34EF"/>
    <w:rsid w:val="5F8B5C0B"/>
    <w:rsid w:val="5F97635E"/>
    <w:rsid w:val="5FC8476A"/>
    <w:rsid w:val="5FCE3855"/>
    <w:rsid w:val="5FF31EB9"/>
    <w:rsid w:val="5FFD7B02"/>
    <w:rsid w:val="602F322A"/>
    <w:rsid w:val="604364E6"/>
    <w:rsid w:val="604B086F"/>
    <w:rsid w:val="60560FF8"/>
    <w:rsid w:val="60724C1A"/>
    <w:rsid w:val="608763D3"/>
    <w:rsid w:val="60977324"/>
    <w:rsid w:val="60D86C2E"/>
    <w:rsid w:val="610A7D38"/>
    <w:rsid w:val="615640F5"/>
    <w:rsid w:val="6157763E"/>
    <w:rsid w:val="61637BA0"/>
    <w:rsid w:val="61642270"/>
    <w:rsid w:val="61B75CC8"/>
    <w:rsid w:val="61DF202D"/>
    <w:rsid w:val="61FA2BD4"/>
    <w:rsid w:val="621237CD"/>
    <w:rsid w:val="621F3B40"/>
    <w:rsid w:val="62352D14"/>
    <w:rsid w:val="623C143F"/>
    <w:rsid w:val="6260512D"/>
    <w:rsid w:val="626D33A6"/>
    <w:rsid w:val="62922837"/>
    <w:rsid w:val="62AA63A9"/>
    <w:rsid w:val="62AC67BD"/>
    <w:rsid w:val="62C236F2"/>
    <w:rsid w:val="62EA1BD3"/>
    <w:rsid w:val="63086E33"/>
    <w:rsid w:val="631D4DCC"/>
    <w:rsid w:val="632F0725"/>
    <w:rsid w:val="637846F9"/>
    <w:rsid w:val="637D4ECB"/>
    <w:rsid w:val="639B5586"/>
    <w:rsid w:val="63A4729C"/>
    <w:rsid w:val="63AC7EFE"/>
    <w:rsid w:val="63C06B29"/>
    <w:rsid w:val="63C11BFC"/>
    <w:rsid w:val="63C60FC0"/>
    <w:rsid w:val="63C74D38"/>
    <w:rsid w:val="63C96C0E"/>
    <w:rsid w:val="63EB0E9D"/>
    <w:rsid w:val="640B4066"/>
    <w:rsid w:val="64181224"/>
    <w:rsid w:val="641F1048"/>
    <w:rsid w:val="64234664"/>
    <w:rsid w:val="64281C7B"/>
    <w:rsid w:val="64355C74"/>
    <w:rsid w:val="644F0FB6"/>
    <w:rsid w:val="64577B7E"/>
    <w:rsid w:val="64656A2B"/>
    <w:rsid w:val="6468651B"/>
    <w:rsid w:val="646A2293"/>
    <w:rsid w:val="64705249"/>
    <w:rsid w:val="647E0AFE"/>
    <w:rsid w:val="64801AB7"/>
    <w:rsid w:val="648D1ADE"/>
    <w:rsid w:val="64AF0DDF"/>
    <w:rsid w:val="64CA0F84"/>
    <w:rsid w:val="64CE2822"/>
    <w:rsid w:val="64D23DC0"/>
    <w:rsid w:val="6502023B"/>
    <w:rsid w:val="65515894"/>
    <w:rsid w:val="65757142"/>
    <w:rsid w:val="659A0BDD"/>
    <w:rsid w:val="659F7D1B"/>
    <w:rsid w:val="65B35574"/>
    <w:rsid w:val="65B732B6"/>
    <w:rsid w:val="65D368AD"/>
    <w:rsid w:val="65D93351"/>
    <w:rsid w:val="65FA13F5"/>
    <w:rsid w:val="660758C0"/>
    <w:rsid w:val="66147068"/>
    <w:rsid w:val="661F2C0A"/>
    <w:rsid w:val="66256070"/>
    <w:rsid w:val="66273772"/>
    <w:rsid w:val="66277ED8"/>
    <w:rsid w:val="66415276"/>
    <w:rsid w:val="664278FF"/>
    <w:rsid w:val="665925BF"/>
    <w:rsid w:val="667C4793"/>
    <w:rsid w:val="66874CF9"/>
    <w:rsid w:val="66AD6DFD"/>
    <w:rsid w:val="66BE6B00"/>
    <w:rsid w:val="66C64EC5"/>
    <w:rsid w:val="66D30817"/>
    <w:rsid w:val="66D95112"/>
    <w:rsid w:val="66DC0AFB"/>
    <w:rsid w:val="66FD2A3C"/>
    <w:rsid w:val="66FD616A"/>
    <w:rsid w:val="670167F8"/>
    <w:rsid w:val="67065B78"/>
    <w:rsid w:val="67185FD7"/>
    <w:rsid w:val="675A65EF"/>
    <w:rsid w:val="6793565D"/>
    <w:rsid w:val="67C45238"/>
    <w:rsid w:val="67D55CA7"/>
    <w:rsid w:val="67F73E3E"/>
    <w:rsid w:val="68142C42"/>
    <w:rsid w:val="682269E1"/>
    <w:rsid w:val="682816DB"/>
    <w:rsid w:val="68307350"/>
    <w:rsid w:val="686261EC"/>
    <w:rsid w:val="687C0712"/>
    <w:rsid w:val="689C5480"/>
    <w:rsid w:val="68A904F6"/>
    <w:rsid w:val="68C53F3C"/>
    <w:rsid w:val="68D75A1D"/>
    <w:rsid w:val="68E10198"/>
    <w:rsid w:val="68E106EC"/>
    <w:rsid w:val="68EC14C9"/>
    <w:rsid w:val="68FA4718"/>
    <w:rsid w:val="690802CD"/>
    <w:rsid w:val="6931512E"/>
    <w:rsid w:val="69371C6C"/>
    <w:rsid w:val="693D1D24"/>
    <w:rsid w:val="695525C9"/>
    <w:rsid w:val="69561038"/>
    <w:rsid w:val="69635503"/>
    <w:rsid w:val="698A3EA6"/>
    <w:rsid w:val="698A6F34"/>
    <w:rsid w:val="699E3EED"/>
    <w:rsid w:val="69AB330A"/>
    <w:rsid w:val="69C064B2"/>
    <w:rsid w:val="69D501AF"/>
    <w:rsid w:val="69DF3FB1"/>
    <w:rsid w:val="69F11830"/>
    <w:rsid w:val="69F12B0F"/>
    <w:rsid w:val="6A042842"/>
    <w:rsid w:val="6A0A2437"/>
    <w:rsid w:val="6A10568B"/>
    <w:rsid w:val="6A31115D"/>
    <w:rsid w:val="6A465B64"/>
    <w:rsid w:val="6A590DE0"/>
    <w:rsid w:val="6A8E7F7F"/>
    <w:rsid w:val="6AE46A29"/>
    <w:rsid w:val="6AEF5059"/>
    <w:rsid w:val="6AF631A5"/>
    <w:rsid w:val="6AF9611F"/>
    <w:rsid w:val="6B016D82"/>
    <w:rsid w:val="6B0A127C"/>
    <w:rsid w:val="6B1765A5"/>
    <w:rsid w:val="6B1E16E2"/>
    <w:rsid w:val="6B282560"/>
    <w:rsid w:val="6B3667F7"/>
    <w:rsid w:val="6B3E7FD6"/>
    <w:rsid w:val="6B407C2A"/>
    <w:rsid w:val="6B59096C"/>
    <w:rsid w:val="6B9419A4"/>
    <w:rsid w:val="6BBF01A7"/>
    <w:rsid w:val="6BC85664"/>
    <w:rsid w:val="6BC93D43"/>
    <w:rsid w:val="6BE742BF"/>
    <w:rsid w:val="6BF40694"/>
    <w:rsid w:val="6BFD579B"/>
    <w:rsid w:val="6C070CD8"/>
    <w:rsid w:val="6C2D1DB5"/>
    <w:rsid w:val="6C2D7DDF"/>
    <w:rsid w:val="6C305B70"/>
    <w:rsid w:val="6C5B062A"/>
    <w:rsid w:val="6C6920F9"/>
    <w:rsid w:val="6C8639E2"/>
    <w:rsid w:val="6CB87914"/>
    <w:rsid w:val="6CCB7647"/>
    <w:rsid w:val="6CCE6BEC"/>
    <w:rsid w:val="6CCF70C6"/>
    <w:rsid w:val="6CDF2E4F"/>
    <w:rsid w:val="6CE10822"/>
    <w:rsid w:val="6CE85D33"/>
    <w:rsid w:val="6D1A412B"/>
    <w:rsid w:val="6D276ECA"/>
    <w:rsid w:val="6D4C4C2C"/>
    <w:rsid w:val="6D527D69"/>
    <w:rsid w:val="6D6C2BD8"/>
    <w:rsid w:val="6D7460C3"/>
    <w:rsid w:val="6D7E290C"/>
    <w:rsid w:val="6D883722"/>
    <w:rsid w:val="6D97577B"/>
    <w:rsid w:val="6DF130DE"/>
    <w:rsid w:val="6E1B09D5"/>
    <w:rsid w:val="6E427DDD"/>
    <w:rsid w:val="6E443B55"/>
    <w:rsid w:val="6E4E2F9D"/>
    <w:rsid w:val="6E5A6ED5"/>
    <w:rsid w:val="6E5B49FB"/>
    <w:rsid w:val="6E71421E"/>
    <w:rsid w:val="6E7373D9"/>
    <w:rsid w:val="6E7A30D3"/>
    <w:rsid w:val="6E7C1EA5"/>
    <w:rsid w:val="6E8D4462"/>
    <w:rsid w:val="6EA168B2"/>
    <w:rsid w:val="6EB26D11"/>
    <w:rsid w:val="6EBB2BDF"/>
    <w:rsid w:val="6EC407F2"/>
    <w:rsid w:val="6ECF6577"/>
    <w:rsid w:val="6EDA0016"/>
    <w:rsid w:val="6EE51C69"/>
    <w:rsid w:val="6F121C91"/>
    <w:rsid w:val="6F55769C"/>
    <w:rsid w:val="6F57461C"/>
    <w:rsid w:val="6F830281"/>
    <w:rsid w:val="6F986CC8"/>
    <w:rsid w:val="6F9F6319"/>
    <w:rsid w:val="6FA04DBB"/>
    <w:rsid w:val="6FBA38B6"/>
    <w:rsid w:val="6FBF710B"/>
    <w:rsid w:val="6FCC5BB0"/>
    <w:rsid w:val="6FD131C7"/>
    <w:rsid w:val="6FD8191A"/>
    <w:rsid w:val="6FE23626"/>
    <w:rsid w:val="702E23C7"/>
    <w:rsid w:val="7047792D"/>
    <w:rsid w:val="70512559"/>
    <w:rsid w:val="70514307"/>
    <w:rsid w:val="70755745"/>
    <w:rsid w:val="70A17D74"/>
    <w:rsid w:val="70A6170B"/>
    <w:rsid w:val="70B825D8"/>
    <w:rsid w:val="70C8281B"/>
    <w:rsid w:val="70D021EC"/>
    <w:rsid w:val="70E76A1A"/>
    <w:rsid w:val="71155335"/>
    <w:rsid w:val="716360A0"/>
    <w:rsid w:val="718C1A9B"/>
    <w:rsid w:val="71A861A9"/>
    <w:rsid w:val="71C22409"/>
    <w:rsid w:val="71E573FD"/>
    <w:rsid w:val="71ED1E0E"/>
    <w:rsid w:val="72037883"/>
    <w:rsid w:val="722E794B"/>
    <w:rsid w:val="723B6DC2"/>
    <w:rsid w:val="727B1AA4"/>
    <w:rsid w:val="727C18CB"/>
    <w:rsid w:val="727F01CB"/>
    <w:rsid w:val="72842772"/>
    <w:rsid w:val="728C1627"/>
    <w:rsid w:val="72C9287B"/>
    <w:rsid w:val="72D471FB"/>
    <w:rsid w:val="72D8187A"/>
    <w:rsid w:val="72DE6D6E"/>
    <w:rsid w:val="72FC0D37"/>
    <w:rsid w:val="7321692F"/>
    <w:rsid w:val="73267AE8"/>
    <w:rsid w:val="733B7ABC"/>
    <w:rsid w:val="737E18B7"/>
    <w:rsid w:val="737E5413"/>
    <w:rsid w:val="73B76B77"/>
    <w:rsid w:val="73BC23E0"/>
    <w:rsid w:val="73C919C7"/>
    <w:rsid w:val="73D43285"/>
    <w:rsid w:val="73FB1E5F"/>
    <w:rsid w:val="740706A3"/>
    <w:rsid w:val="74446F14"/>
    <w:rsid w:val="74597C2E"/>
    <w:rsid w:val="7461016E"/>
    <w:rsid w:val="74922A06"/>
    <w:rsid w:val="749D7B1B"/>
    <w:rsid w:val="74A51C50"/>
    <w:rsid w:val="74C432FA"/>
    <w:rsid w:val="74EE65C9"/>
    <w:rsid w:val="74F05224"/>
    <w:rsid w:val="74F14535"/>
    <w:rsid w:val="750A647B"/>
    <w:rsid w:val="7544268D"/>
    <w:rsid w:val="75660855"/>
    <w:rsid w:val="7581743D"/>
    <w:rsid w:val="7589009F"/>
    <w:rsid w:val="758D4034"/>
    <w:rsid w:val="75A66EA3"/>
    <w:rsid w:val="75A849CA"/>
    <w:rsid w:val="75AD0BD6"/>
    <w:rsid w:val="75AD3D8E"/>
    <w:rsid w:val="75AF5D58"/>
    <w:rsid w:val="75D532E5"/>
    <w:rsid w:val="761B1C9E"/>
    <w:rsid w:val="761D53B8"/>
    <w:rsid w:val="76360227"/>
    <w:rsid w:val="76767CB6"/>
    <w:rsid w:val="768115E7"/>
    <w:rsid w:val="769E7B7B"/>
    <w:rsid w:val="76A25AB4"/>
    <w:rsid w:val="76AD203F"/>
    <w:rsid w:val="76C4564F"/>
    <w:rsid w:val="76E1263F"/>
    <w:rsid w:val="76E71638"/>
    <w:rsid w:val="76F22B03"/>
    <w:rsid w:val="76F23CED"/>
    <w:rsid w:val="77460CC4"/>
    <w:rsid w:val="777F44E9"/>
    <w:rsid w:val="77846D70"/>
    <w:rsid w:val="778E5E41"/>
    <w:rsid w:val="77C90C27"/>
    <w:rsid w:val="77DB696C"/>
    <w:rsid w:val="780277F0"/>
    <w:rsid w:val="78191BAF"/>
    <w:rsid w:val="781A2881"/>
    <w:rsid w:val="781F3432"/>
    <w:rsid w:val="786A240A"/>
    <w:rsid w:val="787068C8"/>
    <w:rsid w:val="7879089F"/>
    <w:rsid w:val="78857244"/>
    <w:rsid w:val="788F1E71"/>
    <w:rsid w:val="78AA2807"/>
    <w:rsid w:val="78CE0BEB"/>
    <w:rsid w:val="78D15FE5"/>
    <w:rsid w:val="78E24696"/>
    <w:rsid w:val="78EF2FCA"/>
    <w:rsid w:val="78F87A16"/>
    <w:rsid w:val="790120F5"/>
    <w:rsid w:val="79020895"/>
    <w:rsid w:val="790243F1"/>
    <w:rsid w:val="79216A1F"/>
    <w:rsid w:val="794819FF"/>
    <w:rsid w:val="79515378"/>
    <w:rsid w:val="796B5873"/>
    <w:rsid w:val="796C55CA"/>
    <w:rsid w:val="797439F5"/>
    <w:rsid w:val="79797086"/>
    <w:rsid w:val="797A2096"/>
    <w:rsid w:val="798017B9"/>
    <w:rsid w:val="79B74A9C"/>
    <w:rsid w:val="79B80F53"/>
    <w:rsid w:val="79BD1032"/>
    <w:rsid w:val="79DC7338"/>
    <w:rsid w:val="79DE4E5E"/>
    <w:rsid w:val="7A124B07"/>
    <w:rsid w:val="7A1268B5"/>
    <w:rsid w:val="7A262361"/>
    <w:rsid w:val="7A330376"/>
    <w:rsid w:val="7A583B2A"/>
    <w:rsid w:val="7A81764C"/>
    <w:rsid w:val="7A85177D"/>
    <w:rsid w:val="7AB4068A"/>
    <w:rsid w:val="7AB4796D"/>
    <w:rsid w:val="7AC51B7A"/>
    <w:rsid w:val="7ACE655D"/>
    <w:rsid w:val="7B321981"/>
    <w:rsid w:val="7B366E6B"/>
    <w:rsid w:val="7B38059E"/>
    <w:rsid w:val="7B38234C"/>
    <w:rsid w:val="7B922DFD"/>
    <w:rsid w:val="7BA4737C"/>
    <w:rsid w:val="7BB8348D"/>
    <w:rsid w:val="7BC938EC"/>
    <w:rsid w:val="7C044924"/>
    <w:rsid w:val="7C2154D6"/>
    <w:rsid w:val="7C520A0E"/>
    <w:rsid w:val="7C5228EC"/>
    <w:rsid w:val="7C6C5B5B"/>
    <w:rsid w:val="7C6F4C63"/>
    <w:rsid w:val="7C703D67"/>
    <w:rsid w:val="7C706380"/>
    <w:rsid w:val="7C8B6DF3"/>
    <w:rsid w:val="7C8D0366"/>
    <w:rsid w:val="7C9E7D0F"/>
    <w:rsid w:val="7CB579CC"/>
    <w:rsid w:val="7CB963F3"/>
    <w:rsid w:val="7CCA3477"/>
    <w:rsid w:val="7CD10CAA"/>
    <w:rsid w:val="7CE17DF9"/>
    <w:rsid w:val="7CE54755"/>
    <w:rsid w:val="7CE6437A"/>
    <w:rsid w:val="7D056BA5"/>
    <w:rsid w:val="7D1868D9"/>
    <w:rsid w:val="7D1D270C"/>
    <w:rsid w:val="7D2708CA"/>
    <w:rsid w:val="7D4551F4"/>
    <w:rsid w:val="7D584F27"/>
    <w:rsid w:val="7DB3215D"/>
    <w:rsid w:val="7DD520D4"/>
    <w:rsid w:val="7DDC2D72"/>
    <w:rsid w:val="7DED391C"/>
    <w:rsid w:val="7DF804B8"/>
    <w:rsid w:val="7E672A39"/>
    <w:rsid w:val="7E834226"/>
    <w:rsid w:val="7E9E2E0E"/>
    <w:rsid w:val="7E9E696A"/>
    <w:rsid w:val="7EA8227B"/>
    <w:rsid w:val="7EC16AFC"/>
    <w:rsid w:val="7EED2D33"/>
    <w:rsid w:val="7F0C311D"/>
    <w:rsid w:val="7F1B620C"/>
    <w:rsid w:val="7F337740"/>
    <w:rsid w:val="7F475253"/>
    <w:rsid w:val="7F4E2B3D"/>
    <w:rsid w:val="7F637BB3"/>
    <w:rsid w:val="7F6C2F0C"/>
    <w:rsid w:val="7F6C60C6"/>
    <w:rsid w:val="7F955427"/>
    <w:rsid w:val="7FA04963"/>
    <w:rsid w:val="7FA206DC"/>
    <w:rsid w:val="7FAF1655"/>
    <w:rsid w:val="7FC00B62"/>
    <w:rsid w:val="7FEA19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paragraph" w:styleId="2">
    <w:name w:val="heading 1"/>
    <w:basedOn w:val="1"/>
    <w:next w:val="1"/>
    <w:qFormat/>
    <w:uiPriority w:val="0"/>
    <w:pPr>
      <w:keepNext/>
      <w:keepLines/>
      <w:spacing w:before="340" w:after="330" w:line="360" w:lineRule="auto"/>
      <w:outlineLvl w:val="0"/>
    </w:pPr>
    <w:rPr>
      <w:b/>
      <w:bCs/>
      <w:kern w:val="44"/>
      <w:sz w:val="36"/>
      <w:szCs w:val="44"/>
    </w:rPr>
  </w:style>
  <w:style w:type="paragraph" w:styleId="3">
    <w:name w:val="heading 2"/>
    <w:basedOn w:val="1"/>
    <w:next w:val="1"/>
    <w:link w:val="22"/>
    <w:unhideWhenUsed/>
    <w:qFormat/>
    <w:uiPriority w:val="9"/>
    <w:pPr>
      <w:keepNext/>
      <w:keepLines/>
      <w:spacing w:line="560" w:lineRule="exact"/>
      <w:ind w:firstLine="200" w:firstLineChars="200"/>
      <w:outlineLvl w:val="1"/>
    </w:pPr>
    <w:rPr>
      <w:rFonts w:eastAsia="方正楷体_GB2312" w:asciiTheme="majorHAnsi" w:hAnsiTheme="majorHAnsi" w:cstheme="majorBidi"/>
      <w:b/>
      <w:bCs/>
      <w:szCs w:val="32"/>
    </w:rPr>
  </w:style>
  <w:style w:type="paragraph" w:styleId="4">
    <w:name w:val="heading 3"/>
    <w:basedOn w:val="1"/>
    <w:next w:val="1"/>
    <w:unhideWhenUsed/>
    <w:qFormat/>
    <w:uiPriority w:val="0"/>
    <w:pPr>
      <w:keepNext/>
      <w:keepLines/>
      <w:spacing w:before="260" w:after="260" w:line="416" w:lineRule="auto"/>
      <w:outlineLvl w:val="2"/>
    </w:pPr>
    <w:rPr>
      <w:b/>
      <w:bCs/>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semiHidden/>
    <w:qFormat/>
    <w:uiPriority w:val="0"/>
    <w:pPr>
      <w:jc w:val="left"/>
    </w:pPr>
  </w:style>
  <w:style w:type="paragraph" w:styleId="6">
    <w:name w:val="Body Text"/>
    <w:basedOn w:val="1"/>
    <w:next w:val="1"/>
    <w:link w:val="21"/>
    <w:qFormat/>
    <w:uiPriority w:val="99"/>
    <w:pPr>
      <w:spacing w:after="120"/>
    </w:pPr>
    <w:rPr>
      <w:sz w:val="24"/>
    </w:rPr>
  </w:style>
  <w:style w:type="paragraph" w:styleId="7">
    <w:name w:val="Balloon Text"/>
    <w:basedOn w:val="1"/>
    <w:link w:val="24"/>
    <w:qFormat/>
    <w:uiPriority w:val="0"/>
    <w:rPr>
      <w:sz w:val="18"/>
      <w:szCs w:val="18"/>
    </w:rPr>
  </w:style>
  <w:style w:type="paragraph" w:styleId="8">
    <w:name w:val="footer"/>
    <w:basedOn w:val="1"/>
    <w:link w:val="25"/>
    <w:qFormat/>
    <w:uiPriority w:val="99"/>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4"/>
    <w:next w:val="1"/>
    <w:qFormat/>
    <w:uiPriority w:val="0"/>
    <w:pPr>
      <w:widowControl w:val="0"/>
      <w:ind w:left="1260"/>
      <w:jc w:val="both"/>
    </w:pPr>
    <w:rPr>
      <w:rFonts w:ascii="黑体" w:hAnsi="Calibri" w:eastAsia="黑体" w:cs="Times New Roman"/>
      <w:kern w:val="2"/>
      <w:sz w:val="32"/>
      <w:szCs w:val="32"/>
      <w:lang w:val="en-US" w:eastAsia="zh-CN" w:bidi="ar-SA"/>
    </w:rPr>
  </w:style>
  <w:style w:type="paragraph" w:styleId="11">
    <w:name w:val="Subtitle"/>
    <w:basedOn w:val="1"/>
    <w:next w:val="1"/>
    <w:qFormat/>
    <w:uiPriority w:val="0"/>
    <w:pPr>
      <w:spacing w:before="240" w:after="60" w:line="312" w:lineRule="auto"/>
      <w:jc w:val="center"/>
      <w:outlineLvl w:val="1"/>
    </w:pPr>
    <w:rPr>
      <w:rFonts w:ascii="Calibri Light" w:hAnsi="Calibri Light"/>
      <w:b/>
      <w:bCs/>
      <w:kern w:val="28"/>
      <w:szCs w:val="32"/>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annotation subject"/>
    <w:basedOn w:val="5"/>
    <w:next w:val="5"/>
    <w:link w:val="26"/>
    <w:qFormat/>
    <w:uiPriority w:val="0"/>
    <w:rPr>
      <w:b/>
      <w:bCs/>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basedOn w:val="16"/>
    <w:qFormat/>
    <w:uiPriority w:val="0"/>
  </w:style>
  <w:style w:type="character" w:styleId="19">
    <w:name w:val="annotation reference"/>
    <w:basedOn w:val="16"/>
    <w:qFormat/>
    <w:uiPriority w:val="0"/>
    <w:rPr>
      <w:sz w:val="21"/>
      <w:szCs w:val="21"/>
    </w:rPr>
  </w:style>
  <w:style w:type="paragraph" w:customStyle="1" w:styleId="2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1">
    <w:name w:val="正文文本 字符"/>
    <w:basedOn w:val="16"/>
    <w:link w:val="6"/>
    <w:qFormat/>
    <w:uiPriority w:val="99"/>
    <w:rPr>
      <w:rFonts w:eastAsia="仿宋" w:asciiTheme="minorHAnsi" w:hAnsiTheme="minorHAnsi" w:cstheme="minorBidi"/>
      <w:kern w:val="2"/>
      <w:sz w:val="24"/>
      <w:szCs w:val="24"/>
    </w:rPr>
  </w:style>
  <w:style w:type="character" w:customStyle="1" w:styleId="22">
    <w:name w:val="标题 2 字符"/>
    <w:basedOn w:val="16"/>
    <w:link w:val="3"/>
    <w:qFormat/>
    <w:uiPriority w:val="9"/>
    <w:rPr>
      <w:rFonts w:eastAsia="方正楷体_GB2312" w:asciiTheme="majorHAnsi" w:hAnsiTheme="majorHAnsi" w:cstheme="majorBidi"/>
      <w:b/>
      <w:bCs/>
      <w:kern w:val="2"/>
      <w:sz w:val="32"/>
      <w:szCs w:val="32"/>
    </w:rPr>
  </w:style>
  <w:style w:type="character" w:customStyle="1" w:styleId="23">
    <w:name w:val="批注文字 字符"/>
    <w:basedOn w:val="16"/>
    <w:link w:val="5"/>
    <w:semiHidden/>
    <w:qFormat/>
    <w:uiPriority w:val="0"/>
    <w:rPr>
      <w:rFonts w:asciiTheme="minorHAnsi" w:hAnsiTheme="minorHAnsi" w:eastAsiaTheme="minorEastAsia" w:cstheme="minorBidi"/>
      <w:kern w:val="2"/>
      <w:sz w:val="21"/>
      <w:szCs w:val="24"/>
    </w:rPr>
  </w:style>
  <w:style w:type="character" w:customStyle="1" w:styleId="24">
    <w:name w:val="批注框文本 字符"/>
    <w:basedOn w:val="16"/>
    <w:link w:val="7"/>
    <w:qFormat/>
    <w:uiPriority w:val="0"/>
    <w:rPr>
      <w:rFonts w:asciiTheme="minorHAnsi" w:hAnsiTheme="minorHAnsi" w:eastAsiaTheme="minorEastAsia" w:cstheme="minorBidi"/>
      <w:kern w:val="2"/>
      <w:sz w:val="18"/>
      <w:szCs w:val="18"/>
    </w:rPr>
  </w:style>
  <w:style w:type="character" w:customStyle="1" w:styleId="25">
    <w:name w:val="页脚 字符"/>
    <w:basedOn w:val="16"/>
    <w:link w:val="8"/>
    <w:qFormat/>
    <w:uiPriority w:val="99"/>
    <w:rPr>
      <w:rFonts w:eastAsia="仿宋" w:asciiTheme="minorHAnsi" w:hAnsiTheme="minorHAnsi" w:cstheme="minorBidi"/>
      <w:kern w:val="2"/>
      <w:sz w:val="18"/>
      <w:szCs w:val="24"/>
    </w:rPr>
  </w:style>
  <w:style w:type="character" w:customStyle="1" w:styleId="26">
    <w:name w:val="批注主题 字符"/>
    <w:basedOn w:val="23"/>
    <w:link w:val="13"/>
    <w:qFormat/>
    <w:uiPriority w:val="0"/>
    <w:rPr>
      <w:rFonts w:asciiTheme="minorHAnsi" w:hAnsiTheme="minorHAnsi" w:eastAsiaTheme="minorEastAsia" w:cstheme="minorBidi"/>
      <w:b/>
      <w:bCs/>
      <w:kern w:val="2"/>
      <w:sz w:val="21"/>
      <w:szCs w:val="24"/>
    </w:rPr>
  </w:style>
  <w:style w:type="paragraph" w:styleId="27">
    <w:name w:val="List Paragraph"/>
    <w:basedOn w:val="1"/>
    <w:unhideWhenUsed/>
    <w:qFormat/>
    <w:uiPriority w:val="99"/>
    <w:pPr>
      <w:ind w:firstLine="420" w:firstLineChars="200"/>
    </w:pPr>
  </w:style>
  <w:style w:type="character" w:customStyle="1" w:styleId="28">
    <w:name w:val="font21"/>
    <w:basedOn w:val="16"/>
    <w:qFormat/>
    <w:uiPriority w:val="0"/>
    <w:rPr>
      <w:rFonts w:ascii="仿宋_GB2312" w:eastAsia="仿宋_GB2312" w:cs="仿宋_GB2312"/>
      <w:b/>
      <w:color w:val="000000"/>
      <w:sz w:val="21"/>
      <w:szCs w:val="21"/>
      <w:u w:val="none"/>
    </w:rPr>
  </w:style>
  <w:style w:type="character" w:customStyle="1" w:styleId="29">
    <w:name w:val="font11"/>
    <w:basedOn w:val="16"/>
    <w:qFormat/>
    <w:uiPriority w:val="0"/>
    <w:rPr>
      <w:rFonts w:hint="default" w:ascii="仿宋_GB2312" w:eastAsia="仿宋_GB2312" w:cs="仿宋_GB2312"/>
      <w:color w:val="000000"/>
      <w:sz w:val="21"/>
      <w:szCs w:val="21"/>
      <w:u w:val="none"/>
    </w:rPr>
  </w:style>
  <w:style w:type="character" w:customStyle="1" w:styleId="30">
    <w:name w:val="font61"/>
    <w:basedOn w:val="16"/>
    <w:qFormat/>
    <w:uiPriority w:val="0"/>
    <w:rPr>
      <w:rFonts w:hint="eastAsia" w:ascii="宋体" w:hAnsi="宋体" w:eastAsia="宋体" w:cs="宋体"/>
      <w:color w:val="000000"/>
      <w:sz w:val="21"/>
      <w:szCs w:val="21"/>
      <w:u w:val="none"/>
    </w:rPr>
  </w:style>
  <w:style w:type="character" w:customStyle="1" w:styleId="31">
    <w:name w:val="font71"/>
    <w:basedOn w:val="16"/>
    <w:qFormat/>
    <w:uiPriority w:val="0"/>
    <w:rPr>
      <w:rFonts w:hint="default" w:ascii="Times New Roman" w:hAnsi="Times New Roman" w:cs="Times New Roman"/>
      <w:color w:val="000000"/>
      <w:sz w:val="21"/>
      <w:szCs w:val="21"/>
      <w:u w:val="none"/>
    </w:rPr>
  </w:style>
  <w:style w:type="character" w:customStyle="1" w:styleId="32">
    <w:name w:val="font31"/>
    <w:basedOn w:val="16"/>
    <w:qFormat/>
    <w:uiPriority w:val="0"/>
    <w:rPr>
      <w:rFonts w:hint="eastAsia" w:ascii="宋体" w:hAnsi="宋体" w:eastAsia="宋体" w:cs="宋体"/>
      <w:color w:val="000000"/>
      <w:sz w:val="21"/>
      <w:szCs w:val="21"/>
      <w:u w:val="none"/>
    </w:rPr>
  </w:style>
  <w:style w:type="character" w:customStyle="1" w:styleId="33">
    <w:name w:val="font51"/>
    <w:basedOn w:val="16"/>
    <w:qFormat/>
    <w:uiPriority w:val="0"/>
    <w:rPr>
      <w:rFonts w:hint="default" w:ascii="Times New Roman" w:hAnsi="Times New Roman" w:cs="Times New Roman"/>
      <w:color w:val="000000"/>
      <w:sz w:val="21"/>
      <w:szCs w:val="21"/>
      <w:u w:val="none"/>
    </w:rPr>
  </w:style>
  <w:style w:type="character" w:customStyle="1" w:styleId="34">
    <w:name w:val="font41"/>
    <w:basedOn w:val="16"/>
    <w:qFormat/>
    <w:uiPriority w:val="0"/>
    <w:rPr>
      <w:rFonts w:hint="eastAsia" w:ascii="宋体" w:hAnsi="宋体" w:eastAsia="宋体" w:cs="宋体"/>
      <w:color w:val="000000"/>
      <w:sz w:val="21"/>
      <w:szCs w:val="21"/>
      <w:u w:val="none"/>
    </w:rPr>
  </w:style>
  <w:style w:type="character" w:customStyle="1" w:styleId="35">
    <w:name w:val="font81"/>
    <w:basedOn w:val="16"/>
    <w:qFormat/>
    <w:uiPriority w:val="0"/>
    <w:rPr>
      <w:rFonts w:hint="eastAsia" w:ascii="宋体" w:hAnsi="宋体" w:eastAsia="宋体" w:cs="宋体"/>
      <w:color w:val="000000"/>
      <w:sz w:val="21"/>
      <w:szCs w:val="21"/>
      <w:u w:val="none"/>
    </w:rPr>
  </w:style>
  <w:style w:type="paragraph" w:customStyle="1" w:styleId="36">
    <w:name w:val="BodyText"/>
    <w:basedOn w:val="1"/>
    <w:next w:val="1"/>
    <w:qFormat/>
    <w:uiPriority w:val="99"/>
    <w:pPr>
      <w:textAlignment w:val="baseline"/>
    </w:pPr>
    <w:rPr>
      <w:rFonts w:ascii="宋体" w:hAnsi="宋体"/>
      <w:sz w:val="30"/>
      <w:szCs w:val="30"/>
    </w:rPr>
  </w:style>
  <w:style w:type="character" w:customStyle="1" w:styleId="37">
    <w:name w:val="NormalCharacter"/>
    <w:link w:val="38"/>
    <w:semiHidden/>
    <w:qFormat/>
    <w:uiPriority w:val="0"/>
    <w:rPr>
      <w:rFonts w:ascii="Times New Roman" w:hAnsi="Times New Roman" w:eastAsia="宋体"/>
      <w:kern w:val="0"/>
      <w:sz w:val="20"/>
      <w:szCs w:val="20"/>
      <w:lang w:val="en-US" w:eastAsia="zh-CN" w:bidi="ar-SA"/>
    </w:rPr>
  </w:style>
  <w:style w:type="paragraph" w:customStyle="1" w:styleId="38">
    <w:name w:val="UserStyle_28"/>
    <w:basedOn w:val="1"/>
    <w:link w:val="37"/>
    <w:qFormat/>
    <w:uiPriority w:val="0"/>
    <w:pPr>
      <w:tabs>
        <w:tab w:val="left" w:pos="907"/>
      </w:tabs>
      <w:ind w:left="907" w:hanging="453"/>
      <w:jc w:val="both"/>
      <w:textAlignment w:val="baseline"/>
    </w:pPr>
    <w:rPr>
      <w:rFonts w:ascii="Times New Roman" w:hAnsi="Times New Roman" w:eastAsia="宋体"/>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E92212-304D-43E7-B73A-F0AA52D04585}">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25</Pages>
  <Words>11712</Words>
  <Characters>12728</Characters>
  <Lines>86</Lines>
  <Paragraphs>24</Paragraphs>
  <TotalTime>30</TotalTime>
  <ScaleCrop>false</ScaleCrop>
  <LinksUpToDate>false</LinksUpToDate>
  <CharactersWithSpaces>12919</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2023-08-24T01:03:00Z</dcterms:created>
  <dc:creator>1402836399</dc:creator>
  <cp:lastModifiedBy>Administrator</cp:lastModifiedBy>
  <cp:lastPrinted>2023-08-06T11:02:00Z</cp:lastPrinted>
  <dcterms:modified xsi:type="dcterms:W3CDTF">2024-08-21T05:34:31Z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C97C7161EF24449EAB24A942A4FEBC8D</vt:lpwstr>
  </property>
</Properties>
</file>